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8A6C1" w14:textId="0E002154" w:rsidR="009A0487" w:rsidRPr="008D6A9F" w:rsidRDefault="00FB66AB">
      <w:pPr>
        <w:pStyle w:val="Judul"/>
        <w:rPr>
          <w:noProof/>
          <w:lang w:val="en-US"/>
        </w:rPr>
      </w:pPr>
      <w:r w:rsidRPr="008D6A9F">
        <w:rPr>
          <w:bCs/>
          <w:noProof/>
          <w:lang w:val="en-US"/>
        </w:rPr>
        <w:t>PISA 2018: Non-Cognitive Factors and School Characteristics Towards Mathematics Achievement in Indonesia</w:t>
      </w:r>
    </w:p>
    <w:p w14:paraId="51822A48" w14:textId="660C8853" w:rsidR="009A0487" w:rsidRPr="00346163" w:rsidRDefault="00FB66AB">
      <w:pPr>
        <w:pStyle w:val="Authors"/>
        <w:rPr>
          <w:noProof/>
          <w:vertAlign w:val="superscript"/>
          <w:lang w:val="en-US"/>
        </w:rPr>
      </w:pPr>
      <w:r w:rsidRPr="008D6A9F">
        <w:rPr>
          <w:noProof/>
          <w:lang w:val="en-US"/>
        </w:rPr>
        <w:t>A W Krisnamurti</w:t>
      </w:r>
      <w:r w:rsidR="00346163">
        <w:rPr>
          <w:noProof/>
          <w:vertAlign w:val="superscript"/>
          <w:lang w:val="en-US"/>
        </w:rPr>
        <w:t>1</w:t>
      </w:r>
      <w:r w:rsidR="009E0C5F">
        <w:rPr>
          <w:noProof/>
          <w:lang w:val="en-US"/>
        </w:rPr>
        <w:t xml:space="preserve"> and</w:t>
      </w:r>
      <w:r w:rsidRPr="008D6A9F">
        <w:rPr>
          <w:noProof/>
          <w:lang w:val="en-US"/>
        </w:rPr>
        <w:t xml:space="preserve"> Kismiantini</w:t>
      </w:r>
      <w:r w:rsidR="00346163">
        <w:rPr>
          <w:noProof/>
          <w:vertAlign w:val="superscript"/>
          <w:lang w:val="en-US"/>
        </w:rPr>
        <w:t>2</w:t>
      </w:r>
    </w:p>
    <w:p w14:paraId="099CF9C8" w14:textId="77777777" w:rsidR="009A0487" w:rsidRPr="008D6A9F" w:rsidRDefault="00346163" w:rsidP="00346163">
      <w:pPr>
        <w:pStyle w:val="Addresses"/>
        <w:spacing w:after="0"/>
        <w:jc w:val="both"/>
        <w:rPr>
          <w:noProof/>
          <w:lang w:val="en-US"/>
        </w:rPr>
      </w:pPr>
      <w:r>
        <w:rPr>
          <w:noProof/>
          <w:vertAlign w:val="superscript"/>
          <w:lang w:val="en-US"/>
        </w:rPr>
        <w:t>1</w:t>
      </w:r>
      <w:r w:rsidR="00A7210B" w:rsidRPr="008D6A9F">
        <w:rPr>
          <w:noProof/>
          <w:lang w:val="en-US"/>
        </w:rPr>
        <w:t>Graduate Program of Mathem</w:t>
      </w:r>
      <w:r w:rsidR="007777AF">
        <w:rPr>
          <w:noProof/>
          <w:lang w:val="en-US"/>
        </w:rPr>
        <w:t>a</w:t>
      </w:r>
      <w:r w:rsidR="00A7210B" w:rsidRPr="008D6A9F">
        <w:rPr>
          <w:noProof/>
          <w:lang w:val="en-US"/>
        </w:rPr>
        <w:t>tics Education, Universitas Negeri Yogyakarta</w:t>
      </w:r>
      <w:r w:rsidR="00F77D5B">
        <w:rPr>
          <w:noProof/>
          <w:lang w:val="en-US"/>
        </w:rPr>
        <w:t>,</w:t>
      </w:r>
      <w:r w:rsidR="00A7210B" w:rsidRPr="008D6A9F">
        <w:rPr>
          <w:noProof/>
          <w:lang w:val="en-US"/>
        </w:rPr>
        <w:t xml:space="preserve"> Jl. Colombo No. 1, Sleman, Yogyakarta, Indonesia</w:t>
      </w:r>
    </w:p>
    <w:p w14:paraId="6627172A" w14:textId="77777777" w:rsidR="00346163" w:rsidRPr="00346163" w:rsidRDefault="00346163" w:rsidP="00346163">
      <w:pPr>
        <w:pStyle w:val="E-mail"/>
        <w:jc w:val="both"/>
        <w:rPr>
          <w:lang w:val="id-ID"/>
        </w:rPr>
      </w:pPr>
      <w:r w:rsidRPr="00346163">
        <w:rPr>
          <w:vertAlign w:val="superscript"/>
          <w:lang w:val="id-ID"/>
        </w:rPr>
        <w:t>2</w:t>
      </w:r>
      <w:r w:rsidRPr="00346163">
        <w:rPr>
          <w:lang w:val="id-ID"/>
        </w:rPr>
        <w:t xml:space="preserve">Departement of </w:t>
      </w:r>
      <w:r w:rsidRPr="00346163">
        <w:t>Statistics</w:t>
      </w:r>
      <w:r w:rsidRPr="00346163">
        <w:rPr>
          <w:lang w:val="id-ID"/>
        </w:rPr>
        <w:t>, Universitas Negeri Yogyakarta, Jl. Colombo No. 1, Sleman, Yogyakarta 55281, Indonesia</w:t>
      </w:r>
    </w:p>
    <w:p w14:paraId="04B0983A" w14:textId="77777777" w:rsidR="00006EA6" w:rsidRPr="008D6A9F" w:rsidRDefault="00006EA6">
      <w:pPr>
        <w:pStyle w:val="E-mail"/>
      </w:pPr>
    </w:p>
    <w:p w14:paraId="05CCA71D" w14:textId="77777777" w:rsidR="009A0487" w:rsidRPr="008D6A9F" w:rsidRDefault="00282E12">
      <w:pPr>
        <w:pStyle w:val="E-mail"/>
      </w:pPr>
      <w:r>
        <w:rPr>
          <w:vertAlign w:val="superscript"/>
        </w:rPr>
        <w:t>1</w:t>
      </w:r>
      <w:r w:rsidR="00A7210B" w:rsidRPr="008D6A9F">
        <w:t>andhikawildan@gmail.com</w:t>
      </w:r>
    </w:p>
    <w:p w14:paraId="1733C64D" w14:textId="6078E044" w:rsidR="009A0487" w:rsidRPr="008D6A9F" w:rsidRDefault="009A0487">
      <w:pPr>
        <w:pStyle w:val="Abstract"/>
        <w:rPr>
          <w:noProof/>
          <w:lang w:val="en-US"/>
        </w:rPr>
      </w:pPr>
      <w:r w:rsidRPr="008D6A9F">
        <w:rPr>
          <w:b/>
          <w:noProof/>
          <w:lang w:val="en-US"/>
        </w:rPr>
        <w:t>Abstract</w:t>
      </w:r>
      <w:r w:rsidRPr="008D6A9F">
        <w:rPr>
          <w:noProof/>
          <w:lang w:val="en-US"/>
        </w:rPr>
        <w:t xml:space="preserve">. </w:t>
      </w:r>
      <w:r w:rsidR="00D02116">
        <w:rPr>
          <w:noProof/>
          <w:lang w:val="en-US"/>
        </w:rPr>
        <w:t xml:space="preserve">Researchers found that non-cognitive factors and the school of students can affect the academic achievement of students during the educational phase. </w:t>
      </w:r>
      <w:r w:rsidR="00346163" w:rsidRPr="00346163">
        <w:rPr>
          <w:noProof/>
          <w:lang w:val="en-US"/>
        </w:rPr>
        <w:t>The goal of this study is to examine the relationship between non-cognitive factors</w:t>
      </w:r>
      <w:r w:rsidR="00C80465">
        <w:rPr>
          <w:noProof/>
          <w:lang w:val="en-US"/>
        </w:rPr>
        <w:t xml:space="preserve"> and</w:t>
      </w:r>
      <w:r w:rsidR="00346163" w:rsidRPr="00346163">
        <w:rPr>
          <w:noProof/>
          <w:lang w:val="en-US"/>
        </w:rPr>
        <w:t xml:space="preserve"> school characteristics </w:t>
      </w:r>
      <w:r w:rsidR="00C80465">
        <w:rPr>
          <w:noProof/>
          <w:lang w:val="en-US"/>
        </w:rPr>
        <w:t>to</w:t>
      </w:r>
      <w:r w:rsidR="00346163" w:rsidRPr="00346163">
        <w:rPr>
          <w:noProof/>
          <w:lang w:val="en-US"/>
        </w:rPr>
        <w:t xml:space="preserve"> mathematics achievement. Data used in this study were taken from </w:t>
      </w:r>
      <w:r w:rsidR="00A81A2A">
        <w:rPr>
          <w:noProof/>
          <w:lang w:val="en-US"/>
        </w:rPr>
        <w:t>9</w:t>
      </w:r>
      <w:r w:rsidR="002573F7">
        <w:rPr>
          <w:noProof/>
          <w:lang w:val="en-US"/>
        </w:rPr>
        <w:t>,</w:t>
      </w:r>
      <w:r w:rsidR="00A81A2A">
        <w:rPr>
          <w:noProof/>
          <w:lang w:val="en-US"/>
        </w:rPr>
        <w:t>262</w:t>
      </w:r>
      <w:r w:rsidR="00346163" w:rsidRPr="00346163">
        <w:rPr>
          <w:noProof/>
          <w:lang w:val="en-US"/>
        </w:rPr>
        <w:t xml:space="preserve"> students in </w:t>
      </w:r>
      <w:r w:rsidR="00A81A2A">
        <w:rPr>
          <w:noProof/>
          <w:lang w:val="en-US"/>
        </w:rPr>
        <w:t>334</w:t>
      </w:r>
      <w:r w:rsidR="00346163" w:rsidRPr="00346163">
        <w:rPr>
          <w:noProof/>
          <w:lang w:val="en-US"/>
        </w:rPr>
        <w:t xml:space="preserve"> schools in Indonesia that participated in the Programme for International Student Assessment (PISA) 2018.</w:t>
      </w:r>
      <w:r w:rsidR="00A81A2A">
        <w:rPr>
          <w:noProof/>
          <w:lang w:val="en-US"/>
        </w:rPr>
        <w:t xml:space="preserve"> </w:t>
      </w:r>
      <w:r w:rsidR="00346163" w:rsidRPr="00346163">
        <w:rPr>
          <w:noProof/>
          <w:lang w:val="en-US"/>
        </w:rPr>
        <w:t>At the student level, the non-cognitive aspects include life satisfaction, positive feelings, and negative feelings;</w:t>
      </w:r>
      <w:r w:rsidR="002573F7">
        <w:rPr>
          <w:noProof/>
          <w:lang w:val="en-US"/>
        </w:rPr>
        <w:t xml:space="preserve"> </w:t>
      </w:r>
      <w:r w:rsidR="00346163" w:rsidRPr="00346163">
        <w:rPr>
          <w:noProof/>
          <w:lang w:val="en-US"/>
        </w:rPr>
        <w:t xml:space="preserve">while at the school level, the independent variables include school categories (public/private), distance considerations in the admission of new students, and school environment. Multilevel analyses showed that feelings of happiness and anxiety at the student level had positive relationship with mathematics achievement, and students attending </w:t>
      </w:r>
      <w:r w:rsidR="00A81A2A">
        <w:rPr>
          <w:noProof/>
          <w:lang w:val="en-US"/>
        </w:rPr>
        <w:t>public</w:t>
      </w:r>
      <w:r w:rsidR="00346163" w:rsidRPr="00346163">
        <w:rPr>
          <w:noProof/>
          <w:lang w:val="en-US"/>
        </w:rPr>
        <w:t xml:space="preserve"> school (at the school level) were reported to have a better mathematics achievement</w:t>
      </w:r>
      <w:r w:rsidR="00A81A2A">
        <w:rPr>
          <w:noProof/>
          <w:lang w:val="en-US"/>
        </w:rPr>
        <w:t>.</w:t>
      </w:r>
    </w:p>
    <w:p w14:paraId="384B2561" w14:textId="77777777" w:rsidR="009A0487" w:rsidRPr="008D6A9F" w:rsidRDefault="00A7210B">
      <w:pPr>
        <w:pStyle w:val="Section"/>
        <w:rPr>
          <w:noProof/>
          <w:lang w:val="en-US"/>
        </w:rPr>
      </w:pPr>
      <w:r w:rsidRPr="008D6A9F">
        <w:rPr>
          <w:noProof/>
          <w:lang w:val="en-US"/>
        </w:rPr>
        <w:t>Introduction</w:t>
      </w:r>
    </w:p>
    <w:p w14:paraId="35E5D6ED" w14:textId="18106C71" w:rsidR="009A0487" w:rsidRPr="008D6A9F" w:rsidRDefault="00CF6DB5" w:rsidP="00A7210B">
      <w:pPr>
        <w:pStyle w:val="BodytextIndented"/>
        <w:ind w:firstLine="0"/>
        <w:rPr>
          <w:noProof/>
        </w:rPr>
      </w:pPr>
      <w:r>
        <w:rPr>
          <w:noProof/>
        </w:rPr>
        <w:t>D</w:t>
      </w:r>
      <w:r w:rsidR="00A7210B" w:rsidRPr="008D6A9F">
        <w:rPr>
          <w:noProof/>
        </w:rPr>
        <w:t>ata</w:t>
      </w:r>
      <w:r>
        <w:rPr>
          <w:noProof/>
        </w:rPr>
        <w:t xml:space="preserve"> source</w:t>
      </w:r>
      <w:r w:rsidR="00A7210B" w:rsidRPr="008D6A9F">
        <w:rPr>
          <w:noProof/>
        </w:rPr>
        <w:t xml:space="preserve"> that many people know about international measurement is the Program for International Student Assessment (PISA) conducted by the Organization for Economic Co-operation and Development. This three-year research measures </w:t>
      </w:r>
      <w:r w:rsidR="004F4122">
        <w:rPr>
          <w:noProof/>
        </w:rPr>
        <w:t xml:space="preserve">abilities in </w:t>
      </w:r>
      <w:r w:rsidR="00A7210B" w:rsidRPr="008D6A9F">
        <w:rPr>
          <w:noProof/>
        </w:rPr>
        <w:t xml:space="preserve">reading, science, and mathematics </w:t>
      </w:r>
      <w:r w:rsidR="004F4122">
        <w:rPr>
          <w:noProof/>
        </w:rPr>
        <w:t>in</w:t>
      </w:r>
      <w:r w:rsidR="00A7210B" w:rsidRPr="008D6A9F">
        <w:rPr>
          <w:noProof/>
        </w:rPr>
        <w:t xml:space="preserve"> several countries</w:t>
      </w:r>
      <w:r w:rsidR="004F4122">
        <w:rPr>
          <w:noProof/>
        </w:rPr>
        <w:t xml:space="preserve"> including Indonesia</w:t>
      </w:r>
      <w:r w:rsidR="00A7210B" w:rsidRPr="008D6A9F">
        <w:rPr>
          <w:noProof/>
        </w:rPr>
        <w:t xml:space="preserve">. There is no country </w:t>
      </w:r>
      <w:r w:rsidR="004F4122">
        <w:rPr>
          <w:noProof/>
        </w:rPr>
        <w:t xml:space="preserve">participating </w:t>
      </w:r>
      <w:r w:rsidR="00A7210B" w:rsidRPr="008D6A9F">
        <w:rPr>
          <w:noProof/>
        </w:rPr>
        <w:t xml:space="preserve">in PISA 2018 </w:t>
      </w:r>
      <w:r w:rsidR="004F4122">
        <w:rPr>
          <w:noProof/>
        </w:rPr>
        <w:t xml:space="preserve">in which </w:t>
      </w:r>
      <w:r w:rsidR="00A7210B" w:rsidRPr="008D6A9F">
        <w:rPr>
          <w:noProof/>
        </w:rPr>
        <w:t xml:space="preserve">all students have </w:t>
      </w:r>
      <w:r w:rsidR="004F4122">
        <w:rPr>
          <w:noProof/>
        </w:rPr>
        <w:t>gained</w:t>
      </w:r>
      <w:r w:rsidR="00A7210B" w:rsidRPr="008D6A9F">
        <w:rPr>
          <w:noProof/>
        </w:rPr>
        <w:t xml:space="preserve"> basic skills in mathematics, science and reading </w:t>
      </w:r>
      <w:r w:rsidR="00A7210B" w:rsidRPr="008D6A9F">
        <w:rPr>
          <w:noProof/>
        </w:rPr>
        <w:fldChar w:fldCharType="begin" w:fldLock="1"/>
      </w:r>
      <w:r w:rsidR="00985095">
        <w:rPr>
          <w:noProof/>
        </w:rPr>
        <w:instrText>ADDIN CSL_CITATION {"citationItems":[{"id":"ITEM-1","itemData":{"DOI":"https://doi.org/10.1787/5jm3xh670q7g-en","ISBN":"8889333154","ISSN":"00392049","author":[{"dropping-particle":"","family":"OECD","given":"","non-dropping-particle":"","parse-names":false,"suffix":""}],"container-title":"Pisa in Focus","id":"ITEM-1","issue":"No. 60","issued":{"date-parts":[["2016"]]},"publisher":"OECD Publishing","publisher-place":"Paris","title":"Who are the low-performing students?","type":"book"},"uris":["http://www.mendeley.com/documents/?uuid=be72d307-f94e-4855-bf51-ebfa1c32a237"]}],"mendeley":{"formattedCitation":"(OECD, 2016)","plainTextFormattedCitation":"(OECD, 2016)","previouslyFormattedCitation":"(OECD, 2016)"},"properties":{"noteIndex":0},"schema":"https://github.com/citation-style-language/schema/raw/master/csl-citation.json"}</w:instrText>
      </w:r>
      <w:r w:rsidR="00A7210B" w:rsidRPr="008D6A9F">
        <w:rPr>
          <w:noProof/>
        </w:rPr>
        <w:fldChar w:fldCharType="separate"/>
      </w:r>
      <w:r w:rsidR="007B1648">
        <w:rPr>
          <w:noProof/>
        </w:rPr>
        <w:t>[12]</w:t>
      </w:r>
      <w:r w:rsidR="00A7210B" w:rsidRPr="008D6A9F">
        <w:rPr>
          <w:noProof/>
        </w:rPr>
        <w:fldChar w:fldCharType="end"/>
      </w:r>
      <w:r w:rsidR="007B1648">
        <w:rPr>
          <w:noProof/>
        </w:rPr>
        <w:t>s</w:t>
      </w:r>
      <w:r w:rsidR="00A7210B" w:rsidRPr="008D6A9F">
        <w:rPr>
          <w:noProof/>
        </w:rPr>
        <w:t xml:space="preserve">. Only 28% of </w:t>
      </w:r>
      <w:r w:rsidR="004F4122">
        <w:rPr>
          <w:noProof/>
        </w:rPr>
        <w:t xml:space="preserve">Indonesian </w:t>
      </w:r>
      <w:r w:rsidR="00A7210B" w:rsidRPr="008D6A9F">
        <w:rPr>
          <w:noProof/>
        </w:rPr>
        <w:t xml:space="preserve">students </w:t>
      </w:r>
      <w:r w:rsidR="004F4122">
        <w:rPr>
          <w:noProof/>
        </w:rPr>
        <w:t xml:space="preserve">can reach </w:t>
      </w:r>
      <w:r w:rsidR="00A7210B" w:rsidRPr="008D6A9F">
        <w:rPr>
          <w:noProof/>
        </w:rPr>
        <w:t xml:space="preserve">level two or more (average OECD 76%) and only 1% reach level five or more </w:t>
      </w:r>
      <w:r w:rsidR="00A7210B" w:rsidRPr="008D6A9F">
        <w:rPr>
          <w:noProof/>
        </w:rPr>
        <w:fldChar w:fldCharType="begin" w:fldLock="1"/>
      </w:r>
      <w:r w:rsidR="00985095">
        <w:rPr>
          <w:noProof/>
        </w:rPr>
        <w:instrText>ADDIN CSL_CITATION {"citationItems":[{"id":"ITEM-1","itemData":{"author":[{"dropping-particle":"","family":"OECD","given":"","non-dropping-particle":"","parse-names":false,"suffix":""}],"container-title":"Programme for International Student Assessment (PISA) Result from PISA 2018","id":"ITEM-1","issue":"1–10","issued":{"date-parts":[["2018"]]},"title":"What 15-Year-Old Students in Indonesia Know and Can Do","type":"article-journal"},"uris":["http://www.mendeley.com/documents/?uuid=615fa9a4-8ce6-463c-865c-b6b9f1002560"]}],"mendeley":{"formattedCitation":"(OECD, 2018)","plainTextFormattedCitation":"(OECD, 2018)","previouslyFormattedCitation":"(OECD, 2018)"},"properties":{"noteIndex":0},"schema":"https://github.com/citation-style-language/schema/raw/master/csl-citation.json"}</w:instrText>
      </w:r>
      <w:r w:rsidR="00A7210B" w:rsidRPr="008D6A9F">
        <w:rPr>
          <w:noProof/>
        </w:rPr>
        <w:fldChar w:fldCharType="separate"/>
      </w:r>
      <w:r w:rsidR="007B1648">
        <w:rPr>
          <w:noProof/>
        </w:rPr>
        <w:t>[15]</w:t>
      </w:r>
      <w:r w:rsidR="00A7210B" w:rsidRPr="008D6A9F">
        <w:rPr>
          <w:noProof/>
        </w:rPr>
        <w:fldChar w:fldCharType="end"/>
      </w:r>
      <w:r w:rsidR="00A7210B" w:rsidRPr="008D6A9F">
        <w:rPr>
          <w:noProof/>
        </w:rPr>
        <w:t xml:space="preserve">. The low achievement of Indonesian students needs to be examined with influential factors </w:t>
      </w:r>
      <w:r w:rsidR="004F4122">
        <w:rPr>
          <w:noProof/>
        </w:rPr>
        <w:t>in order to increase the subsequent</w:t>
      </w:r>
      <w:r w:rsidR="00A7210B" w:rsidRPr="008D6A9F">
        <w:rPr>
          <w:noProof/>
        </w:rPr>
        <w:t xml:space="preserve"> achievements. </w:t>
      </w:r>
      <w:r w:rsidR="00EB4EB4">
        <w:rPr>
          <w:noProof/>
        </w:rPr>
        <w:t>Researchers found that some student-related factors</w:t>
      </w:r>
      <w:r w:rsidR="004F4122">
        <w:rPr>
          <w:noProof/>
        </w:rPr>
        <w:t xml:space="preserve">, like as non-cognitive aspects, </w:t>
      </w:r>
      <w:r w:rsidR="00EB4EB4">
        <w:rPr>
          <w:noProof/>
        </w:rPr>
        <w:t xml:space="preserve"> can influence their academic achievement</w:t>
      </w:r>
      <w:r w:rsidR="004F4122">
        <w:rPr>
          <w:noProof/>
        </w:rPr>
        <w:t>s</w:t>
      </w:r>
      <w:r w:rsidR="00EB4EB4">
        <w:rPr>
          <w:noProof/>
        </w:rPr>
        <w:t xml:space="preserve">. </w:t>
      </w:r>
      <w:r w:rsidR="00DF2E42">
        <w:rPr>
          <w:noProof/>
        </w:rPr>
        <w:t>Several studies ha</w:t>
      </w:r>
      <w:r w:rsidR="004F4122">
        <w:rPr>
          <w:noProof/>
        </w:rPr>
        <w:t>ve</w:t>
      </w:r>
      <w:r w:rsidR="00DF2E42">
        <w:rPr>
          <w:noProof/>
        </w:rPr>
        <w:t xml:space="preserve"> shown that students’ affective can be a factor </w:t>
      </w:r>
      <w:r w:rsidR="00DF2E42" w:rsidRPr="008D6A9F">
        <w:rPr>
          <w:noProof/>
        </w:rPr>
        <w:t>[</w:t>
      </w:r>
      <w:r w:rsidR="00DF2E42" w:rsidRPr="008D6A9F">
        <w:rPr>
          <w:noProof/>
        </w:rPr>
        <w:fldChar w:fldCharType="begin" w:fldLock="1"/>
      </w:r>
      <w:r w:rsidR="00985095">
        <w:rPr>
          <w:noProof/>
        </w:rPr>
        <w:instrText>ADDIN CSL_CITATION {"citationItems":[{"id":"ITEM-1","itemData":{"DOI":"10.1111/1467-8721.00196","ISSN":"09637214","abstract":"Highly math-anxious individuals are characterized by a strong tendency to avoid math, which ultimately undercuts their math competence and forecloses important career paths. But timed, on-line tests reveal math-anxiety effects on whole-number arithmetic problems (e.g., 46 + 27), whereas achievement tests show no competence differences. Math anxiety disrupts cognitive processing by compromising ongoing activity in working memory. Although the causes of math anxiety are undetermined, some teaching styles are implicated as risk factors. We need research on the origins of math anxiety and on its \"signature\" in brain activity, to examine both its emotional and its cognitive components.","author":[{"dropping-particle":"","family":"Ashcraft","given":"Mark H.","non-dropping-particle":"","parse-names":false,"suffix":""}],"container-title":"Current Directions in Psychological Science","id":"ITEM-1","issue":"5","issued":{"date-parts":[["2002"]]},"page":"181-185","title":"Math anxiety: Personal, educational, and cognitive consequences","type":"article-journal","volume":"11"},"uris":["http://www.mendeley.com/documents/?uuid=44065826-1d08-4e27-8d92-a5725a4d4fa9"]}],"mendeley":{"formattedCitation":"(Ashcraft, 2002)","manualFormatting":"1","plainTextFormattedCitation":"(Ashcraft, 2002)","previouslyFormattedCitation":"(Ashcraft, 2002)"},"properties":{"noteIndex":0},"schema":"https://github.com/citation-style-language/schema/raw/master/csl-citation.json"}</w:instrText>
      </w:r>
      <w:r w:rsidR="00DF2E42" w:rsidRPr="008D6A9F">
        <w:rPr>
          <w:noProof/>
        </w:rPr>
        <w:fldChar w:fldCharType="separate"/>
      </w:r>
      <w:r w:rsidR="00DF2E42" w:rsidRPr="008D6A9F">
        <w:rPr>
          <w:noProof/>
        </w:rPr>
        <w:t>1</w:t>
      </w:r>
      <w:r w:rsidR="00DF2E42" w:rsidRPr="008D6A9F">
        <w:rPr>
          <w:noProof/>
        </w:rPr>
        <w:fldChar w:fldCharType="end"/>
      </w:r>
      <w:r w:rsidR="00DF2E42" w:rsidRPr="008D6A9F">
        <w:rPr>
          <w:noProof/>
        </w:rPr>
        <w:fldChar w:fldCharType="begin" w:fldLock="1"/>
      </w:r>
      <w:r w:rsidR="00985095">
        <w:rPr>
          <w:noProof/>
        </w:rPr>
        <w:instrText>ADDIN CSL_CITATION {"citationItems":[{"id":"ITEM-1","itemData":{"DOI":"10.1787/5js6b2579tnx-en","ISSN":"2226-0919","author":[{"dropping-particle":"","family":"OECD","given":"","non-dropping-particle":"","parse-names":false,"suffix":""}],"container-title":"Pisa in Focus","id":"ITEM-1","issued":{"date-parts":[["2015"]]},"publisher":"OECD Publishing","publisher-place":"Paris","title":"Does Math Make You Anxious?","type":"book","volume":"No. 48"},"uris":["http://www.mendeley.com/documents/?uuid=4ccdc227-590b-4cc9-9a7e-f05779c14168"]},{"id":"ITEM-2","itemData":{"DOI":"10.1111/1467-8721.00196","ISSN":"09637214","abstract":"Highly math-anxious individuals are characterized by a strong tendency to avoid math, which ultimately undercuts their math competence and forecloses important career paths. But timed, on-line tests reveal math-anxiety effects on whole-number arithmetic problems (e.g., 46 + 27), whereas achievement tests show no competence differences. Math anxiety disrupts cognitive processing by compromising ongoing activity in working memory. Although the causes of math anxiety are undetermined, some teaching styles are implicated as risk factors. We need research on the origins of math anxiety and on its \"signature\" in brain activity, to examine both its emotional and its cognitive components.","author":[{"dropping-particle":"","family":"Ashcraft","given":"Mark H.","non-dropping-particle":"","parse-names":false,"suffix":""}],"container-title":"Current Directions in Psychological Science","id":"ITEM-2","issue":"5","issued":{"date-parts":[["2002"]]},"page":"181-185","title":"Math anxiety: Personal, educational, and cognitive consequences","type":"article-journal","volume":"11"},"uris":["http://www.mendeley.com/documents/?uuid=44065826-1d08-4e27-8d92-a5725a4d4fa9"]}],"mendeley":{"formattedCitation":"(Ashcraft, 2002; OECD, 2015)","manualFormatting":",4,5,6,11,19]","plainTextFormattedCitation":"(Ashcraft, 2002; OECD, 2015)","previouslyFormattedCitation":"(Ashcraft, 2002; OECD, 2015)"},"properties":{"noteIndex":0},"schema":"https://github.com/citation-style-language/schema/raw/master/csl-citation.json"}</w:instrText>
      </w:r>
      <w:r w:rsidR="00DF2E42" w:rsidRPr="008D6A9F">
        <w:rPr>
          <w:noProof/>
        </w:rPr>
        <w:fldChar w:fldCharType="separate"/>
      </w:r>
      <w:r w:rsidR="00DF2E42" w:rsidRPr="008D6A9F">
        <w:rPr>
          <w:noProof/>
        </w:rPr>
        <w:t>,</w:t>
      </w:r>
      <w:r w:rsidR="00DF2E42" w:rsidRPr="008D6A9F">
        <w:rPr>
          <w:noProof/>
        </w:rPr>
        <w:fldChar w:fldCharType="begin" w:fldLock="1"/>
      </w:r>
      <w:r w:rsidR="00DF2E42">
        <w:rPr>
          <w:noProof/>
        </w:rPr>
        <w:instrText>ADDIN CSL_CITATION {"citationItems":[{"id":"ITEM-1","itemData":{"DOI":"10.1017/prp.2014.3","ISSN":"18344909","abstract":"The aim of this study was to investigate how academic emotions were related to cognitive and metacognitive strategy use. Secondary school students (N = 1,147) participated in this study and answered relevant questionnaires on academic emotions (enjoyment, hope, pride, anger, anxiety, shame, hopelessness, and boredom) and the use of various cognitive (elaboration, organisation, and rehearsal) and metacognitive strategies (planning, monitoring, regulating). Results of the analyses indicated that students who experienced positive emotions were more likely to use different types of cognitive and metacognitive strategies. Negative academic emotions were found to be non-significant predictors of strategy use. Implications are discussed. Copyright © The Author(s), published by Cambridge University Press on behalf of Australian Academic Press Pty Ltd 2014.","author":[{"dropping-particle":"","family":"King","given":"Ronnel B.","non-dropping-particle":"","parse-names":false,"suffix":""},{"dropping-particle":"","family":"Areepattamannil","given":"Shaljan","non-dropping-particle":"","parse-names":false,"suffix":""}],"container-title":"Journal of Pacific Rim Psychology","id":"ITEM-1","issue":"1","issued":{"date-parts":[["2014"]]},"page":"18-27","title":"What students feel in school influences the strategies they use for learning: Academic emotions and cognitive/meta-cognitive strategies","type":"article-journal","volume":"8"},"uris":["http://www.mendeley.com/documents/?uuid=c69fdd91-c1a9-429f-ad54-73c6dc377d5f"]}],"mendeley":{"formattedCitation":"(King &amp; Areepattamannil, 2014)","manualFormatting":"4,","plainTextFormattedCitation":"(King &amp; Areepattamannil, 2014)","previouslyFormattedCitation":"(King &amp; Areepattamannil, 2014)"},"properties":{"noteIndex":0},"schema":"https://github.com/citation-style-language/schema/raw/master/csl-citation.json"}</w:instrText>
      </w:r>
      <w:r w:rsidR="00DF2E42" w:rsidRPr="008D6A9F">
        <w:rPr>
          <w:noProof/>
        </w:rPr>
        <w:fldChar w:fldCharType="separate"/>
      </w:r>
      <w:r w:rsidR="00DF2E42" w:rsidRPr="008D6A9F">
        <w:rPr>
          <w:noProof/>
        </w:rPr>
        <w:t>4</w:t>
      </w:r>
      <w:r w:rsidR="00DF2E42">
        <w:rPr>
          <w:noProof/>
        </w:rPr>
        <w:t>,</w:t>
      </w:r>
      <w:r w:rsidR="00DF2E42" w:rsidRPr="008D6A9F">
        <w:rPr>
          <w:noProof/>
        </w:rPr>
        <w:fldChar w:fldCharType="end"/>
      </w:r>
      <w:r w:rsidR="00DF2E42" w:rsidRPr="008D6A9F">
        <w:rPr>
          <w:noProof/>
        </w:rPr>
        <w:fldChar w:fldCharType="begin" w:fldLock="1"/>
      </w:r>
      <w:r w:rsidR="00DF2E42">
        <w:rPr>
          <w:noProof/>
        </w:rPr>
        <w:instrText>ADDIN CSL_CITATION {"citationItems":[{"id":"ITEM-1","itemData":{"DOI":"10.1007/BF03217413","ISSN":"10332170","author":[{"dropping-particle":"","family":"Leder","given":"Gilah","non-dropping-particle":"","parse-names":false,"suffix":""},{"dropping-particle":"","family":"Grootenboer","given":"Peter","non-dropping-particle":"","parse-names":false,"suffix":""}],"container-title":"Mathematics Education Research Journal","id":"ITEM-1","issue":"2","issued":{"date-parts":[["2005"]]},"page":"1-8","title":"Affect and mathematics education","type":"article-journal","volume":"17"},"uris":["http://www.mendeley.com/documents/?uuid=5ab6f983-a73f-40c8-bb80-c1f444d47687"]}],"mendeley":{"formattedCitation":"(Leder &amp; Grootenboer, 2005)","manualFormatting":"5","plainTextFormattedCitation":"(Leder &amp; Grootenboer, 2005)","previouslyFormattedCitation":"(Leder &amp; Grootenboer, 2005)"},"properties":{"noteIndex":0},"schema":"https://github.com/citation-style-language/schema/raw/master/csl-citation.json"}</w:instrText>
      </w:r>
      <w:r w:rsidR="00DF2E42" w:rsidRPr="008D6A9F">
        <w:rPr>
          <w:noProof/>
        </w:rPr>
        <w:fldChar w:fldCharType="separate"/>
      </w:r>
      <w:r w:rsidR="00DF2E42" w:rsidRPr="008D6A9F">
        <w:rPr>
          <w:noProof/>
        </w:rPr>
        <w:t>5</w:t>
      </w:r>
      <w:r w:rsidR="00DF2E42" w:rsidRPr="008D6A9F">
        <w:rPr>
          <w:noProof/>
        </w:rPr>
        <w:fldChar w:fldCharType="end"/>
      </w:r>
      <w:r w:rsidR="00DF2E42">
        <w:rPr>
          <w:noProof/>
        </w:rPr>
        <w:t>,</w:t>
      </w:r>
      <w:r w:rsidR="00DF2E42" w:rsidRPr="008D6A9F">
        <w:rPr>
          <w:noProof/>
        </w:rPr>
        <w:t>6</w:t>
      </w:r>
      <w:r w:rsidR="00DF2E42">
        <w:rPr>
          <w:noProof/>
        </w:rPr>
        <w:t>,</w:t>
      </w:r>
      <w:r w:rsidR="00DF2E42" w:rsidRPr="008D6A9F">
        <w:rPr>
          <w:noProof/>
        </w:rPr>
        <w:t>11</w:t>
      </w:r>
      <w:r w:rsidR="00DF2E42">
        <w:rPr>
          <w:noProof/>
        </w:rPr>
        <w:t>,</w:t>
      </w:r>
      <w:r w:rsidR="00DF2E42" w:rsidRPr="008D6A9F">
        <w:rPr>
          <w:noProof/>
        </w:rPr>
        <w:fldChar w:fldCharType="begin" w:fldLock="1"/>
      </w:r>
      <w:r w:rsidR="00DF2E42">
        <w:rPr>
          <w:noProof/>
        </w:rPr>
        <w:instrText>ADDIN CSL_CITATION {"citationItems":[{"id":"ITEM-1","itemData":{"DOI":"10.1111/cdev.12704","ISSN":"14678624","PMID":"28176309","abstract":"A reciprocal effects model linking emotion and achievement over time is proposed. The model was tested using five annual waves of the Project for the Analysis of Learning and Achievement in Mathematics (PALMA) longitudinal study, which investigated adolescents’ development in mathematics (Grades 5–9; N = 3,425 German students; mean starting age = 11.7 years; representative sample). Structural equation modeling showed that positive emotions (enjoyment, pride) positively predicted subsequent achievement (math end-of-the-year grades and test scores), and that achievement positively predicted these emotions, controlling for students’ gender, intelligence, and family socioeconomic status. Negative emotions (anger, anxiety, shame, boredom, hopelessness) negatively predicted achievement, and achievement negatively predicted these emotions. The findings were robust across waves, achievement indicators, and school tracks, highlighting the importance of emotions for students’ achievement and of achievement for the development of emotions.","author":[{"dropping-particle":"","family":"Pekrun","given":"Reinhard","non-dropping-particle":"","parse-names":false,"suffix":""},{"dropping-particle":"","family":"Lichtenfeld","given":"Stephanie","non-dropping-particle":"","parse-names":false,"suffix":""},{"dropping-particle":"","family":"Marsh","given":"Herbert W.","non-dropping-particle":"","parse-names":false,"suffix":""},{"dropping-particle":"","family":"Murayama","given":"Kou","non-dropping-particle":"","parse-names":false,"suffix":""},{"dropping-particle":"","family":"Goetz","given":"Thomas","non-dropping-particle":"","parse-names":false,"suffix":""}],"container-title":"Child Development","id":"ITEM-1","issue":"5","issued":{"date-parts":[["2017"]]},"page":"1653-1670","title":"Achievement Emotions and Academic Performance: Longitudinal Models of Reciprocal Effects","type":"article-journal","volume":"88"},"uris":["http://www.mendeley.com/documents/?uuid=dc9e6980-51e7-49fa-998c-c5c6d92b7cc0"]}],"mendeley":{"formattedCitation":"(Pekrun et al., 2017)","manualFormatting":"19","plainTextFormattedCitation":"(Pekrun et al., 2017)","previouslyFormattedCitation":"(Pekrun et al., 2017)"},"properties":{"noteIndex":0},"schema":"https://github.com/citation-style-language/schema/raw/master/csl-citation.json"}</w:instrText>
      </w:r>
      <w:r w:rsidR="00DF2E42" w:rsidRPr="008D6A9F">
        <w:rPr>
          <w:noProof/>
        </w:rPr>
        <w:fldChar w:fldCharType="separate"/>
      </w:r>
      <w:r w:rsidR="00DF2E42" w:rsidRPr="008D6A9F">
        <w:rPr>
          <w:noProof/>
        </w:rPr>
        <w:t>19</w:t>
      </w:r>
      <w:r w:rsidR="00DF2E42" w:rsidRPr="008D6A9F">
        <w:rPr>
          <w:noProof/>
        </w:rPr>
        <w:fldChar w:fldCharType="end"/>
      </w:r>
      <w:r w:rsidR="00DF2E42" w:rsidRPr="008D6A9F">
        <w:rPr>
          <w:noProof/>
        </w:rPr>
        <w:t>]</w:t>
      </w:r>
      <w:r w:rsidR="00DF2E42" w:rsidRPr="008D6A9F">
        <w:rPr>
          <w:noProof/>
        </w:rPr>
        <w:fldChar w:fldCharType="end"/>
      </w:r>
      <w:r w:rsidR="00DF2E42">
        <w:rPr>
          <w:noProof/>
        </w:rPr>
        <w:t xml:space="preserve">. </w:t>
      </w:r>
      <w:r w:rsidR="004F4122">
        <w:rPr>
          <w:noProof/>
        </w:rPr>
        <w:t>In addition</w:t>
      </w:r>
      <w:r w:rsidR="00DF2E42">
        <w:rPr>
          <w:noProof/>
        </w:rPr>
        <w:t>, school can</w:t>
      </w:r>
      <w:r w:rsidR="004F4122">
        <w:rPr>
          <w:noProof/>
        </w:rPr>
        <w:t xml:space="preserve"> also</w:t>
      </w:r>
      <w:r w:rsidR="00DF2E42">
        <w:rPr>
          <w:noProof/>
        </w:rPr>
        <w:t xml:space="preserve"> impact </w:t>
      </w:r>
      <w:r w:rsidR="004F4122">
        <w:rPr>
          <w:noProof/>
        </w:rPr>
        <w:t xml:space="preserve">on educational progress of the </w:t>
      </w:r>
      <w:r w:rsidR="00DF2E42">
        <w:rPr>
          <w:noProof/>
        </w:rPr>
        <w:t xml:space="preserve">students. Previous PISA studies revealed that different schools </w:t>
      </w:r>
      <w:r w:rsidR="0062281A">
        <w:rPr>
          <w:noProof/>
        </w:rPr>
        <w:t xml:space="preserve">yield </w:t>
      </w:r>
      <w:r w:rsidR="00DF2E42" w:rsidRPr="00DF2E42">
        <w:rPr>
          <w:noProof/>
        </w:rPr>
        <w:t>different</w:t>
      </w:r>
      <w:r w:rsidR="00DF2E42">
        <w:rPr>
          <w:noProof/>
        </w:rPr>
        <w:t xml:space="preserve"> students’ achievement </w:t>
      </w:r>
      <w:r w:rsidR="00DF2E42" w:rsidRPr="008D6A9F">
        <w:rPr>
          <w:noProof/>
        </w:rPr>
        <w:fldChar w:fldCharType="begin" w:fldLock="1"/>
      </w:r>
      <w:r w:rsidR="00DF2E42">
        <w:rPr>
          <w:noProof/>
        </w:rPr>
        <w:instrText>ADDIN CSL_CITATION {"citationItems":[{"id":"ITEM-1","itemData":{"DOI":"https://doi.org/10.1787/5k4818hwp89v-en","author":[{"dropping-particle":"","family":"OECD","given":"","non-dropping-particle":"","parse-names":false,"suffix":""}],"container-title":"PISA in Focus","id":"ITEM-1","issue":"No. 27","issued":{"date-parts":[["2013"]]},"publisher":"OECD Publishing","publisher-place":"Paris","title":"Does it matter which school a student attends ?","type":"book"},"uris":["http://www.mendeley.com/documents/?uuid=03a659e3-ccff-4578-b19c-d03ac171cd31"]},{"id":"ITEM-2","itemData":{"DOI":"10.1007/s13394-018-0251-9","ISSN":"2211050X","abstract":"In many countries, there is pressure for schools to increase student engagement and skills in mathematics, in particular for disadvantaged students. This is certainly true in Australia. This study repurposes school level data to examine patterns of participation and achievement in senior secondary school mathematics in Victoria, Australia. It confirms that school socioeconomic status (SES) is strongly tied to participation and achievement in these subjects, and that nonmetropolitan schools tend to perform more poorly than metropolitan schools in these areas. It shows that nonmetropolitan schools are less likely to offer advanced mathematics subjects than metropolitan schools, and where they do, their students are less likely to choose those options. This study also reveals that correlations between mathematics performance and SES are far weaker in the nonmetropolitan school population than the metropolitan school population. This suggests that a nonmetropolitan location has a moderating effect on the impact of SES, pointing the way for potentially fruitful lines of future inquiry.","author":[{"dropping-particle":"","family":"Murphy","given":"Steve","non-dropping-particle":"","parse-names":false,"suffix":""}],"container-title":"Mathematics Education Research Journal","id":"ITEM-2","issue":"3","issued":{"date-parts":[["2019"]]},"page":"219-235","publisher":"Mathematics Education Research Journal","title":"School location and socioeconomic status and patterns of participation and achievement in senior secondary mathematics","type":"article-journal","volume":"31"},"uris":["http://www.mendeley.com/documents/?uuid=8552cc88-f5ac-461a-9618-4b455deadd60"]},{"id":"ITEM-3","itemData":{"DOI":"10.1787/5k46l8w342jc-en","author":[{"dropping-particle":"","family":"OECD","given":"","non-dropping-particle":"","parse-names":false,"suffix":""}],"container-title":"PISA in Focus","id":"ITEM-3","issued":{"date-parts":[["2013"]]},"publisher":"OECD Publishing","publisher-place":"Paris","title":"What makes urban schools different?","type":"book","volume":"No. 28"},"uris":["http://www.mendeley.com/documents/?uuid=cd4532f9-c2a9-4067-a811-d931aec62d63"]}],"mendeley":{"formattedCitation":"(Murphy, 2019; OECD, 2013a, 2013b)","manualFormatting":"[7,9,10]","plainTextFormattedCitation":"(Murphy, 2019; OECD, 2013a, 2013b)","previouslyFormattedCitation":"(Murphy, 2019; OECD, 2013a, 2013b)"},"properties":{"noteIndex":0},"schema":"https://github.com/citation-style-language/schema/raw/master/csl-citation.json"}</w:instrText>
      </w:r>
      <w:r w:rsidR="00DF2E42" w:rsidRPr="008D6A9F">
        <w:rPr>
          <w:noProof/>
        </w:rPr>
        <w:fldChar w:fldCharType="separate"/>
      </w:r>
      <w:r w:rsidR="00DF2E42" w:rsidRPr="008D6A9F">
        <w:rPr>
          <w:noProof/>
        </w:rPr>
        <w:t>[7,9,10]</w:t>
      </w:r>
      <w:r w:rsidR="00DF2E42" w:rsidRPr="008D6A9F">
        <w:rPr>
          <w:noProof/>
        </w:rPr>
        <w:fldChar w:fldCharType="end"/>
      </w:r>
      <w:r w:rsidR="00DF2E42">
        <w:rPr>
          <w:noProof/>
        </w:rPr>
        <w:t>.</w:t>
      </w:r>
      <w:r w:rsidR="00DD3B78">
        <w:rPr>
          <w:noProof/>
        </w:rPr>
        <w:t xml:space="preserve"> </w:t>
      </w:r>
      <w:r w:rsidR="00DD3B78" w:rsidRPr="00985095">
        <w:rPr>
          <w:noProof/>
        </w:rPr>
        <w:t>P</w:t>
      </w:r>
      <w:r w:rsidR="00DD3B78" w:rsidRPr="00985095">
        <w:t>revious</w:t>
      </w:r>
      <w:r w:rsidR="0062281A">
        <w:t xml:space="preserve"> </w:t>
      </w:r>
      <w:r w:rsidR="00DD3B78" w:rsidRPr="00985095">
        <w:t>studies related</w:t>
      </w:r>
      <w:r w:rsidR="0062281A">
        <w:t xml:space="preserve"> </w:t>
      </w:r>
      <w:r w:rsidR="00DD3B78" w:rsidRPr="00985095">
        <w:t xml:space="preserve">to </w:t>
      </w:r>
      <w:r w:rsidR="0062281A">
        <w:t xml:space="preserve">the affective characteristics of </w:t>
      </w:r>
      <w:r w:rsidR="00DD3B78" w:rsidRPr="00985095">
        <w:t>students</w:t>
      </w:r>
      <w:r w:rsidR="00DD3B78" w:rsidRPr="00C80465">
        <w:t xml:space="preserve"> and school aspects</w:t>
      </w:r>
      <w:r w:rsidR="00DD3B78" w:rsidRPr="00985095">
        <w:t xml:space="preserve"> </w:t>
      </w:r>
      <w:r w:rsidR="00DD3B78" w:rsidRPr="00C80465">
        <w:t>toward</w:t>
      </w:r>
      <w:r w:rsidR="00DD3B78" w:rsidRPr="00985095">
        <w:t xml:space="preserve"> students’ performance using PISA dataset with multilevel analysis </w:t>
      </w:r>
      <w:r w:rsidR="0062281A">
        <w:t xml:space="preserve">are </w:t>
      </w:r>
      <w:r w:rsidR="00DD3B78" w:rsidRPr="00985095">
        <w:t>considered rare in Indonesia</w:t>
      </w:r>
      <w:r w:rsidR="00985095">
        <w:t xml:space="preserve"> </w:t>
      </w:r>
      <w:r w:rsidR="00985095">
        <w:fldChar w:fldCharType="begin" w:fldLock="1"/>
      </w:r>
      <w:r w:rsidR="00985095">
        <w:instrText>ADDIN CSL_CITATION {"citationItems":[{"id":"ITEM-1","itemData":{"author":[{"dropping-particle":"","family":"Pakpahan","given":"Rogers","non-dropping-particle":"","parse-names":false,"suffix":""}],"container-title":"Pendidikan dan Kebudayaan","id":"ITEM-1","issue":"3","issued":{"date-parts":[["2016"]]},"page":"331-347","title":"Faktor-Faktor Yang Memengaruhi Capaian Literasi Matematika Siswa Indonesia Dalam Pisa 2012 Factors Affecting Literacy Mathematics Achievement of Indonesian Student in Pisa 2012","type":"article-journal","volume":"1"},"uris":["http://www.mendeley.com/documents/?uuid=0336efe5-3a14-4f69-96b0-618fc3fd65c9"]}],"mendeley":{"formattedCitation":"(Pakpahan, 2016)","manualFormatting":"[19]","plainTextFormattedCitation":"(Pakpahan, 2016)","previouslyFormattedCitation":"(Pakpahan, 2016)"},"properties":{"noteIndex":0},"schema":"https://github.com/citation-style-language/schema/raw/master/csl-citation.json"}</w:instrText>
      </w:r>
      <w:r w:rsidR="00985095">
        <w:fldChar w:fldCharType="separate"/>
      </w:r>
      <w:r w:rsidR="00985095">
        <w:rPr>
          <w:noProof/>
        </w:rPr>
        <w:t>[19]</w:t>
      </w:r>
      <w:r w:rsidR="00985095">
        <w:fldChar w:fldCharType="end"/>
      </w:r>
      <w:r w:rsidR="00DD3B78" w:rsidRPr="00985095">
        <w:t xml:space="preserve">. The report </w:t>
      </w:r>
      <w:r w:rsidR="0062281A">
        <w:t xml:space="preserve">was </w:t>
      </w:r>
      <w:r w:rsidR="00DD3B78" w:rsidRPr="00985095">
        <w:t xml:space="preserve">usually focused </w:t>
      </w:r>
      <w:r w:rsidR="0062281A">
        <w:t xml:space="preserve">more </w:t>
      </w:r>
      <w:r w:rsidR="00DD3B78" w:rsidRPr="00985095">
        <w:t>on the mean score and percentages of students’</w:t>
      </w:r>
      <w:r w:rsidR="0062281A">
        <w:t xml:space="preserve"> </w:t>
      </w:r>
      <w:r w:rsidR="00DD3B78" w:rsidRPr="00985095">
        <w:t>performances</w:t>
      </w:r>
      <w:r w:rsidR="00985095" w:rsidRPr="00C80465">
        <w:t>.</w:t>
      </w:r>
      <w:r w:rsidR="00DD3B78" w:rsidRPr="00985095">
        <w:t xml:space="preserve"> </w:t>
      </w:r>
      <w:r w:rsidR="00A7210B" w:rsidRPr="008D6A9F">
        <w:rPr>
          <w:noProof/>
        </w:rPr>
        <w:t xml:space="preserve">This </w:t>
      </w:r>
      <w:r w:rsidR="00BF2CA3">
        <w:rPr>
          <w:noProof/>
        </w:rPr>
        <w:t>study examine</w:t>
      </w:r>
      <w:r w:rsidR="0062281A">
        <w:rPr>
          <w:noProof/>
        </w:rPr>
        <w:t>s</w:t>
      </w:r>
      <w:r w:rsidR="00BF2CA3">
        <w:rPr>
          <w:noProof/>
        </w:rPr>
        <w:t xml:space="preserve"> the relationship of a collection of independent variables of </w:t>
      </w:r>
      <w:r w:rsidR="00A7210B" w:rsidRPr="008D6A9F">
        <w:rPr>
          <w:noProof/>
        </w:rPr>
        <w:t xml:space="preserve">non-cognitive factors (life satisfaction, positive feelings, negative feelings) and school characteristics (public or private, </w:t>
      </w:r>
      <w:r w:rsidR="00A7210B" w:rsidRPr="008D6A9F">
        <w:rPr>
          <w:noProof/>
        </w:rPr>
        <w:lastRenderedPageBreak/>
        <w:t>consideration of distance in student admission, and school locat</w:t>
      </w:r>
      <w:r w:rsidR="0062281A">
        <w:rPr>
          <w:noProof/>
        </w:rPr>
        <w:t>ion</w:t>
      </w:r>
      <w:r w:rsidR="00A7210B" w:rsidRPr="008D6A9F">
        <w:rPr>
          <w:noProof/>
        </w:rPr>
        <w:t>)</w:t>
      </w:r>
      <w:r w:rsidR="00BF2CA3">
        <w:rPr>
          <w:noProof/>
        </w:rPr>
        <w:t xml:space="preserve"> to a single dependent variable of mathematics achievement</w:t>
      </w:r>
      <w:r w:rsidR="00A7210B" w:rsidRPr="008D6A9F">
        <w:rPr>
          <w:noProof/>
        </w:rPr>
        <w:t>.</w:t>
      </w:r>
    </w:p>
    <w:p w14:paraId="4D731006" w14:textId="77777777" w:rsidR="009A0487" w:rsidRPr="008D6A9F" w:rsidRDefault="00A7210B">
      <w:pPr>
        <w:pStyle w:val="Section"/>
        <w:rPr>
          <w:noProof/>
          <w:lang w:val="en-US"/>
        </w:rPr>
      </w:pPr>
      <w:r w:rsidRPr="008D6A9F">
        <w:rPr>
          <w:noProof/>
          <w:lang w:val="en-US"/>
        </w:rPr>
        <w:t>Literature Review</w:t>
      </w:r>
    </w:p>
    <w:p w14:paraId="523A8C6C" w14:textId="0FF21B66" w:rsidR="009A0487" w:rsidRPr="008D6A9F" w:rsidRDefault="004747D2">
      <w:pPr>
        <w:pStyle w:val="Bodytext"/>
        <w:rPr>
          <w:noProof/>
        </w:rPr>
      </w:pPr>
      <w:r w:rsidRPr="008D6A9F">
        <w:rPr>
          <w:noProof/>
        </w:rPr>
        <w:t xml:space="preserve">Several factors can influence the achievement of mathematics scores </w:t>
      </w:r>
      <w:r w:rsidR="00B550F1">
        <w:rPr>
          <w:noProof/>
        </w:rPr>
        <w:t xml:space="preserve">from </w:t>
      </w:r>
      <w:r w:rsidRPr="008D6A9F">
        <w:rPr>
          <w:noProof/>
        </w:rPr>
        <w:t xml:space="preserve">both the students themselves and from their school. </w:t>
      </w:r>
      <w:r w:rsidR="00B550F1">
        <w:rPr>
          <w:noProof/>
        </w:rPr>
        <w:t xml:space="preserve">The </w:t>
      </w:r>
      <w:r w:rsidRPr="008D6A9F">
        <w:rPr>
          <w:noProof/>
        </w:rPr>
        <w:t xml:space="preserve">PISA 2018 questionnaires aimed </w:t>
      </w:r>
      <w:r w:rsidR="00B550F1">
        <w:rPr>
          <w:noProof/>
        </w:rPr>
        <w:t>to</w:t>
      </w:r>
      <w:r w:rsidRPr="008D6A9F">
        <w:rPr>
          <w:noProof/>
        </w:rPr>
        <w:t xml:space="preserve"> interpret valid cognitive and non-cognitive scores </w:t>
      </w:r>
      <w:r w:rsidRPr="008D6A9F">
        <w:rPr>
          <w:noProof/>
        </w:rPr>
        <w:fldChar w:fldCharType="begin" w:fldLock="1"/>
      </w:r>
      <w:r w:rsidR="00985095">
        <w:rPr>
          <w:noProof/>
        </w:rPr>
        <w:instrText>ADDIN CSL_CITATION {"citationItems":[{"id":"ITEM-1","itemData":{"DOI":"10.1017/CBO9781107415324.004","ISBN":"9788578110796","ISSN":"1098-6596","PMID":"25246403","author":[{"dropping-particle":"","family":"OECD","given":"","non-dropping-particle":"","parse-names":false,"suffix":""}],"container-title":"PISA","id":"ITEM-1","issued":{"date-parts":[["2019"]]},"publisher":"OECD Publishing","title":"PISA 2018 Assessment and Analytical Framework","type":"book"},"uris":["http://www.mendeley.com/documents/?uuid=95c4a9bf-3a2b-40c4-a829-72e1f3f91da5"]}],"mendeley":{"formattedCitation":"(OECD, 2019a)","manualFormatting":"[16]","plainTextFormattedCitation":"(OECD, 2019a)","previouslyFormattedCitation":"(OECD, 2019a)"},"properties":{"noteIndex":0},"schema":"https://github.com/citation-style-language/schema/raw/master/csl-citation.json"}</w:instrText>
      </w:r>
      <w:r w:rsidRPr="008D6A9F">
        <w:rPr>
          <w:noProof/>
        </w:rPr>
        <w:fldChar w:fldCharType="separate"/>
      </w:r>
      <w:r w:rsidR="00985095">
        <w:rPr>
          <w:noProof/>
        </w:rPr>
        <w:t>[16]</w:t>
      </w:r>
      <w:r w:rsidRPr="008D6A9F">
        <w:rPr>
          <w:noProof/>
        </w:rPr>
        <w:fldChar w:fldCharType="end"/>
      </w:r>
      <w:r w:rsidRPr="008D6A9F">
        <w:rPr>
          <w:noProof/>
        </w:rPr>
        <w:t xml:space="preserve">. The questionnaire contained several constructs including metacognitive and non-cognitive, student backgrounds, </w:t>
      </w:r>
      <w:r w:rsidR="00B550F1">
        <w:rPr>
          <w:noProof/>
        </w:rPr>
        <w:t xml:space="preserve">school </w:t>
      </w:r>
      <w:r w:rsidRPr="008D6A9F">
        <w:rPr>
          <w:noProof/>
        </w:rPr>
        <w:t xml:space="preserve">teaching and learning activities, and school or government policies. </w:t>
      </w:r>
      <w:r w:rsidR="00B550F1">
        <w:rPr>
          <w:noProof/>
        </w:rPr>
        <w:t xml:space="preserve">The results of the </w:t>
      </w:r>
      <w:r w:rsidRPr="008D6A9F">
        <w:rPr>
          <w:noProof/>
        </w:rPr>
        <w:t xml:space="preserve">questionnaire </w:t>
      </w:r>
      <w:r w:rsidR="00B550F1">
        <w:rPr>
          <w:noProof/>
        </w:rPr>
        <w:t>on</w:t>
      </w:r>
      <w:r w:rsidRPr="008D6A9F">
        <w:rPr>
          <w:noProof/>
        </w:rPr>
        <w:t xml:space="preserve"> life satisfaction, positive feelings and negative feelings</w:t>
      </w:r>
      <w:r w:rsidR="00B550F1">
        <w:rPr>
          <w:noProof/>
        </w:rPr>
        <w:t xml:space="preserve"> were selected at the student level</w:t>
      </w:r>
      <w:r w:rsidRPr="008D6A9F">
        <w:rPr>
          <w:noProof/>
        </w:rPr>
        <w:t xml:space="preserve">. Whereas </w:t>
      </w:r>
      <w:r w:rsidR="00B550F1">
        <w:rPr>
          <w:noProof/>
        </w:rPr>
        <w:t xml:space="preserve">the results of the school </w:t>
      </w:r>
      <w:r w:rsidRPr="008D6A9F">
        <w:rPr>
          <w:noProof/>
        </w:rPr>
        <w:t>background questionnaire were selected</w:t>
      </w:r>
      <w:r w:rsidR="00B550F1">
        <w:rPr>
          <w:noProof/>
        </w:rPr>
        <w:t xml:space="preserve"> for the school level</w:t>
      </w:r>
      <w:r w:rsidRPr="008D6A9F">
        <w:rPr>
          <w:noProof/>
        </w:rPr>
        <w:t xml:space="preserve"> in relation to the school category (public or private), the policy of considering distance</w:t>
      </w:r>
      <w:r w:rsidR="00B550F1">
        <w:rPr>
          <w:noProof/>
        </w:rPr>
        <w:t xml:space="preserve"> from</w:t>
      </w:r>
      <w:r w:rsidRPr="008D6A9F">
        <w:rPr>
          <w:noProof/>
        </w:rPr>
        <w:t xml:space="preserve"> the admission of new students</w:t>
      </w:r>
      <w:r w:rsidR="000E0844">
        <w:rPr>
          <w:noProof/>
        </w:rPr>
        <w:t xml:space="preserve"> (never, sometimes, always)</w:t>
      </w:r>
      <w:r w:rsidRPr="008D6A9F">
        <w:rPr>
          <w:noProof/>
        </w:rPr>
        <w:t xml:space="preserve">, and where the school environment was </w:t>
      </w:r>
      <w:r w:rsidR="000E0844">
        <w:rPr>
          <w:noProof/>
        </w:rPr>
        <w:t xml:space="preserve">(a village, a small town, a town, a city, a </w:t>
      </w:r>
      <w:r w:rsidR="00B550F1">
        <w:rPr>
          <w:noProof/>
        </w:rPr>
        <w:t>big</w:t>
      </w:r>
      <w:r w:rsidR="000E0844">
        <w:rPr>
          <w:noProof/>
        </w:rPr>
        <w:t xml:space="preserve"> city)</w:t>
      </w:r>
      <w:r w:rsidR="00B550F1">
        <w:rPr>
          <w:noProof/>
        </w:rPr>
        <w:t xml:space="preserve"> </w:t>
      </w:r>
      <w:r w:rsidR="00B550F1" w:rsidRPr="008D6A9F">
        <w:rPr>
          <w:noProof/>
        </w:rPr>
        <w:t>located</w:t>
      </w:r>
      <w:r w:rsidRPr="008D6A9F">
        <w:rPr>
          <w:noProof/>
        </w:rPr>
        <w:t>.</w:t>
      </w:r>
    </w:p>
    <w:p w14:paraId="2B29E7B3" w14:textId="77777777" w:rsidR="009A0487" w:rsidRPr="008D6A9F" w:rsidRDefault="004747D2" w:rsidP="004747D2">
      <w:pPr>
        <w:pStyle w:val="Judul2"/>
        <w:rPr>
          <w:noProof/>
          <w:lang w:val="en-US"/>
        </w:rPr>
      </w:pPr>
      <w:r w:rsidRPr="008D6A9F">
        <w:rPr>
          <w:noProof/>
          <w:lang w:val="en-US"/>
        </w:rPr>
        <w:t>Life Satisfaction, Positive Feelings, and Negative Feelings</w:t>
      </w:r>
    </w:p>
    <w:p w14:paraId="01AA770D" w14:textId="61E62D83" w:rsidR="009A0487" w:rsidRPr="008D6A9F" w:rsidRDefault="00BA126C">
      <w:pPr>
        <w:pStyle w:val="Bodytext"/>
        <w:rPr>
          <w:noProof/>
        </w:rPr>
      </w:pPr>
      <w:r>
        <w:rPr>
          <w:noProof/>
        </w:rPr>
        <w:t xml:space="preserve">Life satisfaction, positive feelings and negative feelings are  three  factors </w:t>
      </w:r>
      <w:r w:rsidR="00C157E8">
        <w:rPr>
          <w:noProof/>
        </w:rPr>
        <w:t xml:space="preserve">in the 2018 PISA research that are one of </w:t>
      </w:r>
      <w:r>
        <w:rPr>
          <w:noProof/>
        </w:rPr>
        <w:t xml:space="preserve">the dimensions of </w:t>
      </w:r>
      <w:r w:rsidR="004747D2" w:rsidRPr="008D6A9F">
        <w:rPr>
          <w:noProof/>
        </w:rPr>
        <w:t xml:space="preserve">student </w:t>
      </w:r>
      <w:r w:rsidR="005B2288">
        <w:rPr>
          <w:noProof/>
        </w:rPr>
        <w:t>well-being</w:t>
      </w:r>
      <w:r w:rsidR="00C157E8">
        <w:rPr>
          <w:noProof/>
        </w:rPr>
        <w:t xml:space="preserve"> </w:t>
      </w:r>
      <w:r w:rsidR="004747D2" w:rsidRPr="008D6A9F">
        <w:rPr>
          <w:noProof/>
        </w:rPr>
        <w:fldChar w:fldCharType="begin" w:fldLock="1"/>
      </w:r>
      <w:r w:rsidR="00985095">
        <w:rPr>
          <w:noProof/>
        </w:rPr>
        <w:instrText>ADDIN CSL_CITATION {"citationItems":[{"id":"ITEM-1","itemData":{"DOI":"10.1017/CBO9781107415324.004","ISBN":"9788578110796","ISSN":"1098-6596","PMID":"25246403","author":[{"dropping-particle":"","family":"OECD","given":"","non-dropping-particle":"","parse-names":false,"suffix":""}],"container-title":"PISA","id":"ITEM-1","issued":{"date-parts":[["2019"]]},"publisher":"OECD Publishing","title":"PISA 2018 Assessment and Analytical Framework","type":"book"},"uris":["http://www.mendeley.com/documents/?uuid=95c4a9bf-3a2b-40c4-a829-72e1f3f91da5"]}],"mendeley":{"formattedCitation":"(OECD, 2019a)","manualFormatting":"[16]","plainTextFormattedCitation":"(OECD, 2019a)","previouslyFormattedCitation":"(OECD, 2019a)"},"properties":{"noteIndex":0},"schema":"https://github.com/citation-style-language/schema/raw/master/csl-citation.json"}</w:instrText>
      </w:r>
      <w:r w:rsidR="004747D2" w:rsidRPr="008D6A9F">
        <w:rPr>
          <w:noProof/>
        </w:rPr>
        <w:fldChar w:fldCharType="separate"/>
      </w:r>
      <w:r w:rsidR="00985095">
        <w:rPr>
          <w:noProof/>
        </w:rPr>
        <w:t>[16]</w:t>
      </w:r>
      <w:r w:rsidR="004747D2" w:rsidRPr="008D6A9F">
        <w:rPr>
          <w:noProof/>
        </w:rPr>
        <w:fldChar w:fldCharType="end"/>
      </w:r>
      <w:r w:rsidR="004747D2" w:rsidRPr="008D6A9F">
        <w:rPr>
          <w:noProof/>
        </w:rPr>
        <w:t xml:space="preserve">. This aspect of </w:t>
      </w:r>
      <w:r w:rsidR="00C157E8">
        <w:rPr>
          <w:noProof/>
        </w:rPr>
        <w:t xml:space="preserve">the </w:t>
      </w:r>
      <w:r w:rsidR="004747D2" w:rsidRPr="008D6A9F">
        <w:rPr>
          <w:noProof/>
        </w:rPr>
        <w:t xml:space="preserve">life satisfaction score </w:t>
      </w:r>
      <w:r w:rsidR="00C157E8">
        <w:rPr>
          <w:noProof/>
        </w:rPr>
        <w:t xml:space="preserve">is zero to then with </w:t>
      </w:r>
      <w:r w:rsidR="004747D2" w:rsidRPr="008D6A9F">
        <w:rPr>
          <w:noProof/>
        </w:rPr>
        <w:t xml:space="preserve">zero </w:t>
      </w:r>
      <w:r w:rsidR="00C157E8">
        <w:rPr>
          <w:noProof/>
        </w:rPr>
        <w:t>showing un</w:t>
      </w:r>
      <w:r w:rsidR="004747D2" w:rsidRPr="008D6A9F">
        <w:rPr>
          <w:noProof/>
        </w:rPr>
        <w:t>satisfied and ten indicat</w:t>
      </w:r>
      <w:r w:rsidR="00C157E8">
        <w:rPr>
          <w:noProof/>
        </w:rPr>
        <w:t>ing</w:t>
      </w:r>
      <w:r w:rsidR="004747D2" w:rsidRPr="008D6A9F">
        <w:rPr>
          <w:noProof/>
        </w:rPr>
        <w:t xml:space="preserve"> very satisfied. Then negative and positive feelings </w:t>
      </w:r>
      <w:r w:rsidR="000E0844">
        <w:rPr>
          <w:noProof/>
        </w:rPr>
        <w:t>are</w:t>
      </w:r>
      <w:r w:rsidR="000E0844" w:rsidRPr="008D6A9F">
        <w:rPr>
          <w:noProof/>
        </w:rPr>
        <w:t xml:space="preserve"> </w:t>
      </w:r>
      <w:r w:rsidR="004747D2" w:rsidRPr="008D6A9F">
        <w:rPr>
          <w:noProof/>
        </w:rPr>
        <w:t>part of student well being in affective or emotional pieces.</w:t>
      </w:r>
      <w:r w:rsidR="000E0844">
        <w:rPr>
          <w:noProof/>
        </w:rPr>
        <w:t xml:space="preserve"> </w:t>
      </w:r>
      <w:r w:rsidR="000E0844" w:rsidRPr="008D6A9F">
        <w:rPr>
          <w:noProof/>
        </w:rPr>
        <w:t>Th</w:t>
      </w:r>
      <w:r w:rsidR="00C157E8">
        <w:rPr>
          <w:noProof/>
        </w:rPr>
        <w:t>i</w:t>
      </w:r>
      <w:r w:rsidR="000E0844">
        <w:rPr>
          <w:noProof/>
        </w:rPr>
        <w:t xml:space="preserve">s </w:t>
      </w:r>
      <w:r w:rsidR="000E0844" w:rsidRPr="008D6A9F">
        <w:rPr>
          <w:noProof/>
        </w:rPr>
        <w:t xml:space="preserve">score has a scale </w:t>
      </w:r>
      <w:r w:rsidR="00C157E8">
        <w:rPr>
          <w:noProof/>
        </w:rPr>
        <w:t xml:space="preserve">ranging </w:t>
      </w:r>
      <w:r w:rsidR="000E0844">
        <w:rPr>
          <w:noProof/>
        </w:rPr>
        <w:t>from one</w:t>
      </w:r>
      <w:r w:rsidR="000E0844" w:rsidRPr="008D6A9F">
        <w:rPr>
          <w:noProof/>
        </w:rPr>
        <w:t xml:space="preserve"> to </w:t>
      </w:r>
      <w:r w:rsidR="000E0844">
        <w:rPr>
          <w:noProof/>
        </w:rPr>
        <w:t>four</w:t>
      </w:r>
      <w:r w:rsidR="00C157E8">
        <w:rPr>
          <w:noProof/>
        </w:rPr>
        <w:t>,</w:t>
      </w:r>
      <w:r w:rsidR="000E0844">
        <w:rPr>
          <w:noProof/>
        </w:rPr>
        <w:t xml:space="preserve"> which means how </w:t>
      </w:r>
      <w:r w:rsidR="00C157E8">
        <w:rPr>
          <w:noProof/>
        </w:rPr>
        <w:t>often</w:t>
      </w:r>
      <w:r w:rsidR="000E0844">
        <w:rPr>
          <w:noProof/>
        </w:rPr>
        <w:t xml:space="preserve"> students feel it for never, rarely, sometimes, and always. </w:t>
      </w:r>
      <w:r w:rsidR="004747D2" w:rsidRPr="008D6A9F">
        <w:rPr>
          <w:noProof/>
        </w:rPr>
        <w:t xml:space="preserve">In the questionnaire, positive feelings in question include happy, lively, proud, joyful and cheerful. While negative feelings are scared, miserable, afraid and sad. Scores from this aspect </w:t>
      </w:r>
      <w:r w:rsidR="00C157E8">
        <w:rPr>
          <w:noProof/>
        </w:rPr>
        <w:t xml:space="preserve">are one to </w:t>
      </w:r>
      <w:r w:rsidR="004747D2" w:rsidRPr="008D6A9F">
        <w:rPr>
          <w:noProof/>
        </w:rPr>
        <w:t>four</w:t>
      </w:r>
      <w:r w:rsidR="00C157E8">
        <w:rPr>
          <w:noProof/>
        </w:rPr>
        <w:t xml:space="preserve"> in scale, </w:t>
      </w:r>
      <w:r w:rsidR="004747D2" w:rsidRPr="008D6A9F">
        <w:rPr>
          <w:noProof/>
        </w:rPr>
        <w:t xml:space="preserve"> with one means never and four means always.</w:t>
      </w:r>
      <w:r w:rsidR="009A0487" w:rsidRPr="008D6A9F">
        <w:rPr>
          <w:noProof/>
        </w:rPr>
        <w:t xml:space="preserve"> </w:t>
      </w:r>
    </w:p>
    <w:p w14:paraId="03A5E9F8" w14:textId="70439140" w:rsidR="004747D2" w:rsidRPr="008D6A9F" w:rsidRDefault="004747D2" w:rsidP="004747D2">
      <w:pPr>
        <w:pStyle w:val="BodytextIndented"/>
        <w:rPr>
          <w:noProof/>
        </w:rPr>
      </w:pPr>
      <w:r w:rsidRPr="008D6A9F">
        <w:rPr>
          <w:noProof/>
        </w:rPr>
        <w:t xml:space="preserve">The non-cognitive aspect of life satisfaction was also reviewed at PISA 2015. In the study, the effect of </w:t>
      </w:r>
      <w:r w:rsidR="00C157E8">
        <w:rPr>
          <w:noProof/>
        </w:rPr>
        <w:t xml:space="preserve">life </w:t>
      </w:r>
      <w:r w:rsidRPr="008D6A9F">
        <w:rPr>
          <w:noProof/>
        </w:rPr>
        <w:t>satisfaction on students</w:t>
      </w:r>
      <w:r w:rsidR="00C157E8">
        <w:rPr>
          <w:noProof/>
        </w:rPr>
        <w:t>’s ability</w:t>
      </w:r>
      <w:r w:rsidRPr="008D6A9F">
        <w:rPr>
          <w:noProof/>
        </w:rPr>
        <w:t xml:space="preserve"> in schools </w:t>
      </w:r>
      <w:r w:rsidR="00C157E8">
        <w:rPr>
          <w:noProof/>
        </w:rPr>
        <w:t xml:space="preserve">has been </w:t>
      </w:r>
      <w:r w:rsidRPr="008D6A9F">
        <w:rPr>
          <w:noProof/>
        </w:rPr>
        <w:t xml:space="preserve">classified as low </w:t>
      </w:r>
      <w:r w:rsidRPr="008D6A9F">
        <w:rPr>
          <w:noProof/>
        </w:rPr>
        <w:fldChar w:fldCharType="begin" w:fldLock="1"/>
      </w:r>
      <w:r w:rsidR="00985095">
        <w:rPr>
          <w:noProof/>
        </w:rPr>
        <w:instrText>ADDIN CSL_CITATION {"citationItems":[{"id":"ITEM-1","itemData":{"DOI":"10.1787/9789264266490-en","ISBN":"978-92-64-27385-6","author":[{"dropping-particle":"","family":"OECD","given":"","non-dropping-particle":"","parse-names":false,"suffix":""}],"container-title":"PISA","id":"ITEM-1","issued":{"date-parts":[["2017"]]},"number-of-pages":"530","publisher":"OECD Publishing","publisher-place":"Paris","title":"PISA 2015 Results (Volume III): Students' Well-Being","type":"book","volume":"III"},"uris":["http://www.mendeley.com/documents/?uuid=397feb8b-9fd7-401b-a774-9f20c6d3225d"]}],"mendeley":{"formattedCitation":"(OECD, 2017b)","manualFormatting":"[14]","plainTextFormattedCitation":"(OECD, 2017b)","previouslyFormattedCitation":"(OECD, 2017b)"},"properties":{"noteIndex":0},"schema":"https://github.com/citation-style-language/schema/raw/master/csl-citation.json"}</w:instrText>
      </w:r>
      <w:r w:rsidRPr="008D6A9F">
        <w:rPr>
          <w:noProof/>
        </w:rPr>
        <w:fldChar w:fldCharType="separate"/>
      </w:r>
      <w:r w:rsidR="008D6A9F" w:rsidRPr="008D6A9F">
        <w:rPr>
          <w:noProof/>
        </w:rPr>
        <w:t>[</w:t>
      </w:r>
      <w:r w:rsidRPr="008D6A9F">
        <w:rPr>
          <w:noProof/>
        </w:rPr>
        <w:t>1</w:t>
      </w:r>
      <w:r w:rsidR="008D6A9F" w:rsidRPr="008D6A9F">
        <w:rPr>
          <w:noProof/>
        </w:rPr>
        <w:t>4]</w:t>
      </w:r>
      <w:r w:rsidRPr="008D6A9F">
        <w:rPr>
          <w:noProof/>
        </w:rPr>
        <w:fldChar w:fldCharType="end"/>
      </w:r>
      <w:r w:rsidRPr="008D6A9F">
        <w:rPr>
          <w:noProof/>
        </w:rPr>
        <w:t xml:space="preserve">. This means </w:t>
      </w:r>
      <w:r w:rsidR="00C157E8">
        <w:rPr>
          <w:noProof/>
        </w:rPr>
        <w:t>students</w:t>
      </w:r>
      <w:r w:rsidRPr="008D6A9F">
        <w:rPr>
          <w:noProof/>
        </w:rPr>
        <w:t xml:space="preserve"> with high and low scores have the same </w:t>
      </w:r>
      <w:r w:rsidR="00C157E8">
        <w:rPr>
          <w:noProof/>
        </w:rPr>
        <w:t xml:space="preserve">standard of living </w:t>
      </w:r>
      <w:r w:rsidRPr="008D6A9F">
        <w:rPr>
          <w:noProof/>
        </w:rPr>
        <w:t>satisfaction</w:t>
      </w:r>
      <w:r w:rsidR="00C157E8">
        <w:rPr>
          <w:noProof/>
        </w:rPr>
        <w:t xml:space="preserve"> in most countries</w:t>
      </w:r>
      <w:r w:rsidRPr="008D6A9F">
        <w:rPr>
          <w:noProof/>
        </w:rPr>
        <w:t xml:space="preserve">. </w:t>
      </w:r>
      <w:r w:rsidR="00C157E8">
        <w:rPr>
          <w:noProof/>
        </w:rPr>
        <w:t xml:space="preserve">These students’ </w:t>
      </w:r>
      <w:r w:rsidRPr="008D6A9F">
        <w:rPr>
          <w:noProof/>
        </w:rPr>
        <w:t xml:space="preserve"> life satisfaction differs in </w:t>
      </w:r>
      <w:r w:rsidR="00C157E8">
        <w:rPr>
          <w:noProof/>
        </w:rPr>
        <w:t>one</w:t>
      </w:r>
      <w:r w:rsidRPr="008D6A9F">
        <w:rPr>
          <w:noProof/>
        </w:rPr>
        <w:t xml:space="preserve"> country or </w:t>
      </w:r>
      <w:r w:rsidR="00C157E8">
        <w:rPr>
          <w:noProof/>
        </w:rPr>
        <w:t>among</w:t>
      </w:r>
      <w:r w:rsidRPr="008D6A9F">
        <w:rPr>
          <w:noProof/>
        </w:rPr>
        <w:t xml:space="preserve"> countries, one of which is influenced by the school environment </w:t>
      </w:r>
      <w:r w:rsidRPr="008D6A9F">
        <w:rPr>
          <w:noProof/>
        </w:rPr>
        <w:fldChar w:fldCharType="begin" w:fldLock="1"/>
      </w:r>
      <w:r w:rsidR="00985095">
        <w:rPr>
          <w:noProof/>
        </w:rPr>
        <w:instrText>ADDIN CSL_CITATION {"citationItems":[{"id":"ITEM-1","itemData":{"DOI":"https://doi.org/10.1787/3512d7ae-en","abstract":"OECD (2017), PISA 2015 Results (Volume III): Students’ Well-Being, PISA, OECD Publishing, Paris, http://dx.doi.org/10.1787/9789264267510-en","author":[{"dropping-particle":"","family":"OECD","given":"","non-dropping-particle":"","parse-names":false,"suffix":""}],"container-title":"Pisa in Focus","id":"ITEM-1","issue":"No. 71","issued":{"date-parts":[["2017"]]},"number-of-pages":"1-5","title":"Are students happy? PISA 2015 Results: Students’ Well-Being","type":"book"},"uris":["http://www.mendeley.com/documents/?uuid=e658656b-81eb-4385-a13d-49cee6c4d5de"]}],"mendeley":{"formattedCitation":"(OECD, 2017a)","manualFormatting":"[13]","plainTextFormattedCitation":"(OECD, 2017a)","previouslyFormattedCitation":"(OECD, 2017a)"},"properties":{"noteIndex":0},"schema":"https://github.com/citation-style-language/schema/raw/master/csl-citation.json"}</w:instrText>
      </w:r>
      <w:r w:rsidRPr="008D6A9F">
        <w:rPr>
          <w:noProof/>
        </w:rPr>
        <w:fldChar w:fldCharType="separate"/>
      </w:r>
      <w:r w:rsidR="008D6A9F" w:rsidRPr="008D6A9F">
        <w:rPr>
          <w:noProof/>
        </w:rPr>
        <w:t>[13]</w:t>
      </w:r>
      <w:r w:rsidRPr="008D6A9F">
        <w:rPr>
          <w:noProof/>
        </w:rPr>
        <w:fldChar w:fldCharType="end"/>
      </w:r>
      <w:r w:rsidRPr="008D6A9F">
        <w:rPr>
          <w:noProof/>
        </w:rPr>
        <w:t xml:space="preserve">. In Indonesia, </w:t>
      </w:r>
      <w:r w:rsidR="00C157E8">
        <w:rPr>
          <w:noProof/>
        </w:rPr>
        <w:t xml:space="preserve">students’ </w:t>
      </w:r>
      <w:r w:rsidRPr="008D6A9F">
        <w:rPr>
          <w:noProof/>
        </w:rPr>
        <w:t>average life satisfaction is 7.47</w:t>
      </w:r>
      <w:r w:rsidR="00253CC6">
        <w:rPr>
          <w:noProof/>
        </w:rPr>
        <w:t xml:space="preserve"> which is higher than</w:t>
      </w:r>
      <w:r w:rsidR="00D1435E">
        <w:rPr>
          <w:noProof/>
        </w:rPr>
        <w:t xml:space="preserve"> the</w:t>
      </w:r>
      <w:r w:rsidR="00253CC6">
        <w:rPr>
          <w:noProof/>
        </w:rPr>
        <w:t xml:space="preserve"> OECD average </w:t>
      </w:r>
      <w:r w:rsidR="00D1435E">
        <w:rPr>
          <w:noProof/>
        </w:rPr>
        <w:t xml:space="preserve">of </w:t>
      </w:r>
      <w:r w:rsidR="00253CC6">
        <w:rPr>
          <w:noProof/>
        </w:rPr>
        <w:t>7.04</w:t>
      </w:r>
      <w:r w:rsidRPr="008D6A9F">
        <w:rPr>
          <w:noProof/>
        </w:rPr>
        <w:t xml:space="preserve"> </w:t>
      </w:r>
      <w:r w:rsidRPr="008D6A9F">
        <w:rPr>
          <w:noProof/>
        </w:rPr>
        <w:fldChar w:fldCharType="begin" w:fldLock="1"/>
      </w:r>
      <w:r w:rsidR="00985095">
        <w:rPr>
          <w:noProof/>
        </w:rPr>
        <w:instrText>ADDIN CSL_CITATION {"citationItems":[{"id":"ITEM-1","itemData":{"ISBN":"9789264970427","author":[{"dropping-particle":"","family":"OECD","given":"","non-dropping-particle":"","parse-names":false,"suffix":""}],"container-title":"OECD Publishing","editor":[{"dropping-particle":"","family":"PISA","given":"","non-dropping-particle":"","parse-names":false,"suffix":""}],"id":"ITEM-1","issued":{"date-parts":[["2019"]]},"publisher":"OECD Publishing","publisher-place":"Paris","title":"PISA 2018 Results (Volume III): What School Life Means for Students' Lives","type":"book"},"uris":["http://www.mendeley.com/documents/?uuid=dadb3f3b-3e98-470b-8b08-cf56c174e5bc"]}],"mendeley":{"formattedCitation":"(OECD, 2019c)","manualFormatting":"[18]","plainTextFormattedCitation":"(OECD, 2019c)","previouslyFormattedCitation":"(OECD, 2019c)"},"properties":{"noteIndex":0},"schema":"https://github.com/citation-style-language/schema/raw/master/csl-citation.json"}</w:instrText>
      </w:r>
      <w:r w:rsidRPr="008D6A9F">
        <w:rPr>
          <w:noProof/>
        </w:rPr>
        <w:fldChar w:fldCharType="separate"/>
      </w:r>
      <w:r w:rsidR="008D6A9F" w:rsidRPr="008D6A9F">
        <w:rPr>
          <w:noProof/>
        </w:rPr>
        <w:t>[18]</w:t>
      </w:r>
      <w:r w:rsidRPr="008D6A9F">
        <w:rPr>
          <w:noProof/>
        </w:rPr>
        <w:fldChar w:fldCharType="end"/>
      </w:r>
      <w:r w:rsidRPr="008D6A9F">
        <w:rPr>
          <w:noProof/>
        </w:rPr>
        <w:t>.</w:t>
      </w:r>
    </w:p>
    <w:p w14:paraId="0F0D8413" w14:textId="745C8088" w:rsidR="004747D2" w:rsidRPr="008D6A9F" w:rsidRDefault="004747D2" w:rsidP="004747D2">
      <w:pPr>
        <w:pStyle w:val="BodytextIndented"/>
        <w:rPr>
          <w:noProof/>
        </w:rPr>
      </w:pPr>
      <w:r w:rsidRPr="008D6A9F">
        <w:rPr>
          <w:noProof/>
        </w:rPr>
        <w:t xml:space="preserve">Several studies have shown that affective aspects can be a factor in </w:t>
      </w:r>
      <w:r w:rsidR="00E87AB8">
        <w:rPr>
          <w:noProof/>
        </w:rPr>
        <w:t xml:space="preserve">the </w:t>
      </w:r>
      <w:r w:rsidRPr="008D6A9F">
        <w:rPr>
          <w:noProof/>
        </w:rPr>
        <w:t xml:space="preserve">students' academic achievement. </w:t>
      </w:r>
      <w:r w:rsidRPr="008D6A9F">
        <w:rPr>
          <w:noProof/>
        </w:rPr>
        <w:fldChar w:fldCharType="begin" w:fldLock="1"/>
      </w:r>
      <w:r w:rsidR="00985095">
        <w:rPr>
          <w:noProof/>
        </w:rPr>
        <w:instrText>ADDIN CSL_CITATION {"citationItems":[{"id":"ITEM-1","itemData":{"DOI":"10.1787/d7c28431-en","ISSN":"2226-0919","abstract":"PISA has extensively measured student achievement for over 15 years. But cognitive performance is only one aspect of success at school; another is general well-being. The PISA 2015 questionnaire included a comprehensive section on student well-being designed to understand students' mental health, satisfaction with life, aspirations and socialisation. This PISA in Focus examines two of these aspects: motivation and anxiety. Students in 55 education systems were asked about their motivation to achieve, both in school and in life. In particular, they reported the extent to which they agreed or disagreed with the following five statements: • I want top grades in most or all of my courses. • I want to be able to select from among the best opportunities available when I graduate. • I want to be the best, whatever I do. • I see myself as an ambitious person. • I want to be one of the best students in my class. Large differences in motivation were seen across countries. For example, less than 40% of students in Belgium, Finland, Japan, the Netherlands and Switzerland stated that they want to be the best, whatever they do, while over 90% of students in Colombia, Israel, Thailand, the United Kingdom and the United States reported likewise. More than nine in ten 15-year-olds in Tunisia, but just over one in four 15-year-olds in the Dominican Republic, stated that they saw themselves as ambitious. These country differences may reflect more than just disparities in motivation; they also reflect, for example, differences between countries in how socially acceptable it is to acknowledge ambition and seek individual success, or differences between countries in what behaviours are considered to reflect high and low motivation. Across countries, the percentage of students who agreed with the above statements is not strongly related to performance in the PISA 2015 assessment. Within almost every education system, however, motivation was positively associated with performance. In other words, students who reported greater motivation to do well also scored higher than other students in their country. This association was not statistically significant in only two countries: Belgium and Singapore. For some, motivation may act as a self-fulfilling prophecy: students who aim higher end up going further. These students are often more willing to invest the effort required to perform well and achieve their goals. The positive results of this extra effort accumulate incrementally o…","author":[{"dropping-particle":"","family":"Mo","given":"Jeffrey","non-dropping-particle":"","parse-names":false,"suffix":""}],"container-title":"PISA in Focus","id":"ITEM-1","issued":{"date-parts":[["2019"]]},"publisher":"OECD Publishing","title":"How Is Students' Motivation Related to Their Performance and Anxiety?","type":"book","volume":"No. 92"},"uris":["http://www.mendeley.com/documents/?uuid=1fc6c45d-a2cd-49bb-b480-2e2d4bf37bff"]}],"mendeley":{"formattedCitation":"(Mo, 2019)","manualFormatting":" ","plainTextFormattedCitation":"(Mo, 2019)","previouslyFormattedCitation":"(Mo, 2019)"},"properties":{"noteIndex":0},"schema":"https://github.com/citation-style-language/schema/raw/master/csl-citation.json"}</w:instrText>
      </w:r>
      <w:r w:rsidRPr="008D6A9F">
        <w:rPr>
          <w:noProof/>
        </w:rPr>
        <w:fldChar w:fldCharType="separate"/>
      </w:r>
      <w:r w:rsidRPr="008D6A9F">
        <w:rPr>
          <w:noProof/>
        </w:rPr>
        <w:t xml:space="preserve"> </w:t>
      </w:r>
      <w:r w:rsidRPr="008D6A9F">
        <w:rPr>
          <w:noProof/>
        </w:rPr>
        <w:fldChar w:fldCharType="end"/>
      </w:r>
      <w:r w:rsidR="00536146" w:rsidRPr="008D6A9F">
        <w:rPr>
          <w:noProof/>
        </w:rPr>
        <w:t>Study</w:t>
      </w:r>
      <w:r w:rsidRPr="008D6A9F">
        <w:rPr>
          <w:noProof/>
        </w:rPr>
        <w:t xml:space="preserve"> revealed that based on the results of PISA 2015, the greater the anxiety of students, the greater the motivation they have</w:t>
      </w:r>
      <w:r w:rsidR="00536146" w:rsidRPr="008D6A9F">
        <w:rPr>
          <w:noProof/>
        </w:rPr>
        <w:t xml:space="preserve"> [6]</w:t>
      </w:r>
      <w:r w:rsidRPr="008D6A9F">
        <w:rPr>
          <w:noProof/>
        </w:rPr>
        <w:t>. This motivation can lead to better academic performance</w:t>
      </w:r>
      <w:r w:rsidR="00E87AB8">
        <w:rPr>
          <w:noProof/>
        </w:rPr>
        <w:t xml:space="preserve"> efforts</w:t>
      </w:r>
      <w:r w:rsidRPr="008D6A9F">
        <w:rPr>
          <w:noProof/>
        </w:rPr>
        <w:t xml:space="preserve">. While mathematics anxiety itself has a negative effect on the achievement of mathematics scores </w:t>
      </w:r>
      <w:r w:rsidR="008D6A9F" w:rsidRPr="008D6A9F">
        <w:rPr>
          <w:noProof/>
        </w:rPr>
        <w:t>[</w:t>
      </w:r>
      <w:r w:rsidR="008D6A9F" w:rsidRPr="008D6A9F">
        <w:rPr>
          <w:noProof/>
        </w:rPr>
        <w:fldChar w:fldCharType="begin" w:fldLock="1"/>
      </w:r>
      <w:r w:rsidR="00985095">
        <w:rPr>
          <w:noProof/>
        </w:rPr>
        <w:instrText>ADDIN CSL_CITATION {"citationItems":[{"id":"ITEM-1","itemData":{"DOI":"10.1111/1467-8721.00196","ISSN":"09637214","abstract":"Highly math-anxious individuals are characterized by a strong tendency to avoid math, which ultimately undercuts their math competence and forecloses important career paths. But timed, on-line tests reveal math-anxiety effects on whole-number arithmetic problems (e.g., 46 + 27), whereas achievement tests show no competence differences. Math anxiety disrupts cognitive processing by compromising ongoing activity in working memory. Although the causes of math anxiety are undetermined, some teaching styles are implicated as risk factors. We need research on the origins of math anxiety and on its \"signature\" in brain activity, to examine both its emotional and its cognitive components.","author":[{"dropping-particle":"","family":"Ashcraft","given":"Mark H.","non-dropping-particle":"","parse-names":false,"suffix":""}],"container-title":"Current Directions in Psychological Science","id":"ITEM-1","issue":"5","issued":{"date-parts":[["2002"]]},"page":"181-185","title":"Math anxiety: Personal, educational, and cognitive consequences","type":"article-journal","volume":"11"},"uris":["http://www.mendeley.com/documents/?uuid=44065826-1d08-4e27-8d92-a5725a4d4fa9"]}],"mendeley":{"formattedCitation":"(Ashcraft, 2002)","manualFormatting":"1","plainTextFormattedCitation":"(Ashcraft, 2002)","previouslyFormattedCitation":"(Ashcraft, 2002)"},"properties":{"noteIndex":0},"schema":"https://github.com/citation-style-language/schema/raw/master/csl-citation.json"}</w:instrText>
      </w:r>
      <w:r w:rsidR="008D6A9F" w:rsidRPr="008D6A9F">
        <w:rPr>
          <w:noProof/>
        </w:rPr>
        <w:fldChar w:fldCharType="separate"/>
      </w:r>
      <w:r w:rsidR="008D6A9F" w:rsidRPr="008D6A9F">
        <w:rPr>
          <w:noProof/>
        </w:rPr>
        <w:t>1</w:t>
      </w:r>
      <w:r w:rsidR="008D6A9F" w:rsidRPr="008D6A9F">
        <w:rPr>
          <w:noProof/>
        </w:rPr>
        <w:fldChar w:fldCharType="end"/>
      </w:r>
      <w:r w:rsidRPr="008D6A9F">
        <w:rPr>
          <w:noProof/>
        </w:rPr>
        <w:fldChar w:fldCharType="begin" w:fldLock="1"/>
      </w:r>
      <w:r w:rsidR="00985095">
        <w:rPr>
          <w:noProof/>
        </w:rPr>
        <w:instrText>ADDIN CSL_CITATION {"citationItems":[{"id":"ITEM-1","itemData":{"DOI":"10.1787/5js6b2579tnx-en","ISSN":"2226-0919","author":[{"dropping-particle":"","family":"OECD","given":"","non-dropping-particle":"","parse-names":false,"suffix":""}],"container-title":"Pisa in Focus","id":"ITEM-1","issued":{"date-parts":[["2015"]]},"publisher":"OECD Publishing","publisher-place":"Paris","title":"Does Math Make You Anxious?","type":"book","volume":"No. 48"},"uris":["http://www.mendeley.com/documents/?uuid=4ccdc227-590b-4cc9-9a7e-f05779c14168"]},{"id":"ITEM-2","itemData":{"DOI":"10.1111/1467-8721.00196","ISSN":"09637214","abstract":"Highly math-anxious individuals are characterized by a strong tendency to avoid math, which ultimately undercuts their math competence and forecloses important career paths. But timed, on-line tests reveal math-anxiety effects on whole-number arithmetic problems (e.g., 46 + 27), whereas achievement tests show no competence differences. Math anxiety disrupts cognitive processing by compromising ongoing activity in working memory. Although the causes of math anxiety are undetermined, some teaching styles are implicated as risk factors. We need research on the origins of math anxiety and on its \"signature\" in brain activity, to examine both its emotional and its cognitive components.","author":[{"dropping-particle":"","family":"Ashcraft","given":"Mark H.","non-dropping-particle":"","parse-names":false,"suffix":""}],"container-title":"Current Directions in Psychological Science","id":"ITEM-2","issue":"5","issued":{"date-parts":[["2002"]]},"page":"181-185","title":"Math anxiety: Personal, educational, and cognitive consequences","type":"article-journal","volume":"11"},"uris":["http://www.mendeley.com/documents/?uuid=44065826-1d08-4e27-8d92-a5725a4d4fa9"]}],"mendeley":{"formattedCitation":"(Ashcraft, 2002; OECD, 2015)","manualFormatting":",11]","plainTextFormattedCitation":"(Ashcraft, 2002; OECD, 2015)","previouslyFormattedCitation":"(Ashcraft, 2002; OECD, 2015)"},"properties":{"noteIndex":0},"schema":"https://github.com/citation-style-language/schema/raw/master/csl-citation.json"}</w:instrText>
      </w:r>
      <w:r w:rsidRPr="008D6A9F">
        <w:rPr>
          <w:noProof/>
        </w:rPr>
        <w:fldChar w:fldCharType="separate"/>
      </w:r>
      <w:r w:rsidR="008D6A9F" w:rsidRPr="008D6A9F">
        <w:rPr>
          <w:noProof/>
        </w:rPr>
        <w:t>,</w:t>
      </w:r>
      <w:r w:rsidRPr="008D6A9F">
        <w:rPr>
          <w:noProof/>
        </w:rPr>
        <w:t>1</w:t>
      </w:r>
      <w:r w:rsidR="008D6A9F" w:rsidRPr="008D6A9F">
        <w:rPr>
          <w:noProof/>
        </w:rPr>
        <w:t>1]</w:t>
      </w:r>
      <w:r w:rsidRPr="008D6A9F">
        <w:rPr>
          <w:noProof/>
        </w:rPr>
        <w:fldChar w:fldCharType="end"/>
      </w:r>
      <w:r w:rsidRPr="008D6A9F">
        <w:rPr>
          <w:noProof/>
        </w:rPr>
        <w:t xml:space="preserve">. The higher the </w:t>
      </w:r>
      <w:r w:rsidR="0076656B">
        <w:rPr>
          <w:noProof/>
        </w:rPr>
        <w:t xml:space="preserve">students’ </w:t>
      </w:r>
      <w:r w:rsidRPr="008D6A9F">
        <w:rPr>
          <w:noProof/>
        </w:rPr>
        <w:t>level of mathematics anxiety</w:t>
      </w:r>
      <w:r w:rsidR="0076656B">
        <w:rPr>
          <w:noProof/>
        </w:rPr>
        <w:t>,</w:t>
      </w:r>
      <w:r w:rsidRPr="008D6A9F">
        <w:rPr>
          <w:noProof/>
        </w:rPr>
        <w:t xml:space="preserve"> the lower the mathematics scores</w:t>
      </w:r>
      <w:r w:rsidR="0076656B">
        <w:rPr>
          <w:noProof/>
        </w:rPr>
        <w:t xml:space="preserve"> achieved</w:t>
      </w:r>
      <w:r w:rsidRPr="008D6A9F">
        <w:rPr>
          <w:noProof/>
        </w:rPr>
        <w:t>. On average anxiety</w:t>
      </w:r>
      <w:r w:rsidR="0076656B">
        <w:rPr>
          <w:noProof/>
        </w:rPr>
        <w:t xml:space="preserve"> in mathematics</w:t>
      </w:r>
      <w:r w:rsidRPr="008D6A9F">
        <w:rPr>
          <w:noProof/>
        </w:rPr>
        <w:t xml:space="preserve"> affects the reduction </w:t>
      </w:r>
      <w:r w:rsidR="0076656B">
        <w:rPr>
          <w:noProof/>
        </w:rPr>
        <w:t xml:space="preserve">of  </w:t>
      </w:r>
      <w:r w:rsidRPr="008D6A9F">
        <w:rPr>
          <w:noProof/>
        </w:rPr>
        <w:t>34 points</w:t>
      </w:r>
      <w:r w:rsidR="0076656B">
        <w:rPr>
          <w:noProof/>
        </w:rPr>
        <w:t xml:space="preserve"> in mathematics scores</w:t>
      </w:r>
      <w:r w:rsidRPr="008D6A9F">
        <w:rPr>
          <w:noProof/>
        </w:rPr>
        <w:t>. Similar affective aspects such as positive and negative emotions also affect mathematics ability.</w:t>
      </w:r>
      <w:r w:rsidR="00536146" w:rsidRPr="008D6A9F">
        <w:rPr>
          <w:noProof/>
        </w:rPr>
        <w:t xml:space="preserve"> Researcher</w:t>
      </w:r>
      <w:r w:rsidRPr="008D6A9F">
        <w:rPr>
          <w:noProof/>
        </w:rPr>
        <w:t xml:space="preserve"> found that positive emotions (enjoyment and pride) had a positive effect on mathematics achievement. While negative emotions (anger, anxiety, shame, boredom, hopelessness) </w:t>
      </w:r>
      <w:r w:rsidR="002D4F2F">
        <w:rPr>
          <w:noProof/>
        </w:rPr>
        <w:t xml:space="preserve">have a </w:t>
      </w:r>
      <w:r w:rsidRPr="008D6A9F">
        <w:rPr>
          <w:noProof/>
        </w:rPr>
        <w:t xml:space="preserve">negative </w:t>
      </w:r>
      <w:r w:rsidR="002D4F2F">
        <w:rPr>
          <w:noProof/>
        </w:rPr>
        <w:t xml:space="preserve">influence on </w:t>
      </w:r>
      <w:r w:rsidRPr="008D6A9F">
        <w:rPr>
          <w:noProof/>
        </w:rPr>
        <w:t>mathematics</w:t>
      </w:r>
      <w:r w:rsidR="002D4F2F">
        <w:rPr>
          <w:noProof/>
        </w:rPr>
        <w:t xml:space="preserve"> achievement</w:t>
      </w:r>
      <w:r w:rsidR="00536146" w:rsidRPr="008D6A9F">
        <w:rPr>
          <w:noProof/>
        </w:rPr>
        <w:t xml:space="preserve"> </w:t>
      </w:r>
      <w:r w:rsidR="00536146" w:rsidRPr="008D6A9F">
        <w:rPr>
          <w:noProof/>
        </w:rPr>
        <w:fldChar w:fldCharType="begin" w:fldLock="1"/>
      </w:r>
      <w:r w:rsidR="00985095">
        <w:rPr>
          <w:noProof/>
        </w:rPr>
        <w:instrText>ADDIN CSL_CITATION {"citationItems":[{"id":"ITEM-1","itemData":{"DOI":"10.1111/cdev.12704","ISSN":"14678624","PMID":"28176309","abstract":"A reciprocal effects model linking emotion and achievement over time is proposed. The model was tested using five annual waves of the Project for the Analysis of Learning and Achievement in Mathematics (PALMA) longitudinal study, which investigated adolescents’ development in mathematics (Grades 5–9; N = 3,425 German students; mean starting age = 11.7 years; representative sample). Structural equation modeling showed that positive emotions (enjoyment, pride) positively predicted subsequent achievement (math end-of-the-year grades and test scores), and that achievement positively predicted these emotions, controlling for students’ gender, intelligence, and family socioeconomic status. Negative emotions (anger, anxiety, shame, boredom, hopelessness) negatively predicted achievement, and achievement negatively predicted these emotions. The findings were robust across waves, achievement indicators, and school tracks, highlighting the importance of emotions for students’ achievement and of achievement for the development of emotions.","author":[{"dropping-particle":"","family":"Pekrun","given":"Reinhard","non-dropping-particle":"","parse-names":false,"suffix":""},{"dropping-particle":"","family":"Lichtenfeld","given":"Stephanie","non-dropping-particle":"","parse-names":false,"suffix":""},{"dropping-particle":"","family":"Marsh","given":"Herbert W.","non-dropping-particle":"","parse-names":false,"suffix":""},{"dropping-particle":"","family":"Murayama","given":"Kou","non-dropping-particle":"","parse-names":false,"suffix":""},{"dropping-particle":"","family":"Goetz","given":"Thomas","non-dropping-particle":"","parse-names":false,"suffix":""}],"container-title":"Child Development","id":"ITEM-1","issue":"5","issued":{"date-parts":[["2017"]]},"page":"1653-1670","title":"Achievement Emotions and Academic Performance: Longitudinal Models of Reciprocal Effects","type":"article-journal","volume":"88"},"uris":["http://www.mendeley.com/documents/?uuid=dc9e6980-51e7-49fa-998c-c5c6d92b7cc0"]}],"mendeley":{"formattedCitation":"(Pekrun et al., 2017)","manualFormatting":"[19]","plainTextFormattedCitation":"(Pekrun et al., 2017)","previouslyFormattedCitation":"(Pekrun et al., 2017)"},"properties":{"noteIndex":0},"schema":"https://github.com/citation-style-language/schema/raw/master/csl-citation.json"}</w:instrText>
      </w:r>
      <w:r w:rsidR="00536146" w:rsidRPr="008D6A9F">
        <w:rPr>
          <w:noProof/>
        </w:rPr>
        <w:fldChar w:fldCharType="separate"/>
      </w:r>
      <w:r w:rsidR="00536146" w:rsidRPr="008D6A9F">
        <w:rPr>
          <w:noProof/>
        </w:rPr>
        <w:t>[</w:t>
      </w:r>
      <w:r w:rsidR="00985095">
        <w:rPr>
          <w:noProof/>
        </w:rPr>
        <w:t>20</w:t>
      </w:r>
      <w:r w:rsidR="00536146" w:rsidRPr="008D6A9F">
        <w:rPr>
          <w:noProof/>
        </w:rPr>
        <w:t>]</w:t>
      </w:r>
      <w:r w:rsidR="00536146" w:rsidRPr="008D6A9F">
        <w:rPr>
          <w:noProof/>
        </w:rPr>
        <w:fldChar w:fldCharType="end"/>
      </w:r>
      <w:r w:rsidRPr="008D6A9F">
        <w:rPr>
          <w:noProof/>
        </w:rPr>
        <w:t xml:space="preserve">. </w:t>
      </w:r>
      <w:r w:rsidR="00536146" w:rsidRPr="008D6A9F">
        <w:rPr>
          <w:noProof/>
        </w:rPr>
        <w:t>Other research</w:t>
      </w:r>
      <w:r w:rsidR="00605661" w:rsidRPr="008D6A9F">
        <w:rPr>
          <w:noProof/>
        </w:rPr>
        <w:t xml:space="preserve"> </w:t>
      </w:r>
      <w:r w:rsidRPr="008D6A9F">
        <w:rPr>
          <w:noProof/>
        </w:rPr>
        <w:t>found that positive emotions encourage students to use various cognitive and metacognitive strategies</w:t>
      </w:r>
      <w:r w:rsidR="00605661" w:rsidRPr="008D6A9F">
        <w:rPr>
          <w:noProof/>
        </w:rPr>
        <w:t xml:space="preserve"> </w:t>
      </w:r>
      <w:r w:rsidR="00605661" w:rsidRPr="008D6A9F">
        <w:rPr>
          <w:noProof/>
        </w:rPr>
        <w:fldChar w:fldCharType="begin" w:fldLock="1"/>
      </w:r>
      <w:r w:rsidR="00985095">
        <w:rPr>
          <w:noProof/>
        </w:rPr>
        <w:instrText>ADDIN CSL_CITATION {"citationItems":[{"id":"ITEM-1","itemData":{"DOI":"10.1017/prp.2014.3","ISSN":"18344909","abstract":"The aim of this study was to investigate how academic emotions were related to cognitive and metacognitive strategy use. Secondary school students (N = 1,147) participated in this study and answered relevant questionnaires on academic emotions (enjoyment, hope, pride, anger, anxiety, shame, hopelessness, and boredom) and the use of various cognitive (elaboration, organisation, and rehearsal) and metacognitive strategies (planning, monitoring, regulating). Results of the analyses indicated that students who experienced positive emotions were more likely to use different types of cognitive and metacognitive strategies. Negative academic emotions were found to be non-significant predictors of strategy use. Implications are discussed. Copyright © The Author(s), published by Cambridge University Press on behalf of Australian Academic Press Pty Ltd 2014.","author":[{"dropping-particle":"","family":"King","given":"Ronnel B.","non-dropping-particle":"","parse-names":false,"suffix":""},{"dropping-particle":"","family":"Areepattamannil","given":"Shaljan","non-dropping-particle":"","parse-names":false,"suffix":""}],"container-title":"Journal of Pacific Rim Psychology","id":"ITEM-1","issue":"1","issued":{"date-parts":[["2014"]]},"page":"18-27","title":"What students feel in school influences the strategies they use for learning: Academic emotions and cognitive/meta-cognitive strategies","type":"article-journal","volume":"8"},"uris":["http://www.mendeley.com/documents/?uuid=c69fdd91-c1a9-429f-ad54-73c6dc377d5f"]}],"mendeley":{"formattedCitation":"(King &amp; Areepattamannil, 2014)","manualFormatting":"[4]","plainTextFormattedCitation":"(King &amp; Areepattamannil, 2014)","previouslyFormattedCitation":"(King &amp; Areepattamannil, 2014)"},"properties":{"noteIndex":0},"schema":"https://github.com/citation-style-language/schema/raw/master/csl-citation.json"}</w:instrText>
      </w:r>
      <w:r w:rsidR="00605661" w:rsidRPr="008D6A9F">
        <w:rPr>
          <w:noProof/>
        </w:rPr>
        <w:fldChar w:fldCharType="separate"/>
      </w:r>
      <w:r w:rsidR="00605661" w:rsidRPr="008D6A9F">
        <w:rPr>
          <w:noProof/>
        </w:rPr>
        <w:t>[4]</w:t>
      </w:r>
      <w:r w:rsidR="00605661" w:rsidRPr="008D6A9F">
        <w:rPr>
          <w:noProof/>
        </w:rPr>
        <w:fldChar w:fldCharType="end"/>
      </w:r>
      <w:r w:rsidRPr="008D6A9F">
        <w:rPr>
          <w:noProof/>
        </w:rPr>
        <w:t xml:space="preserve">. In addition to emotions, </w:t>
      </w:r>
      <w:r w:rsidR="002D4F2F">
        <w:rPr>
          <w:noProof/>
        </w:rPr>
        <w:t xml:space="preserve">the </w:t>
      </w:r>
      <w:r w:rsidRPr="008D6A9F">
        <w:rPr>
          <w:noProof/>
        </w:rPr>
        <w:t>attitudes that affect academic achievement</w:t>
      </w:r>
      <w:r w:rsidR="002D4F2F">
        <w:rPr>
          <w:noProof/>
        </w:rPr>
        <w:t xml:space="preserve"> also have affective aspects</w:t>
      </w:r>
      <w:r w:rsidRPr="008D6A9F">
        <w:rPr>
          <w:noProof/>
        </w:rPr>
        <w:t xml:space="preserve">. </w:t>
      </w:r>
      <w:r w:rsidR="00536146" w:rsidRPr="008D6A9F">
        <w:rPr>
          <w:noProof/>
        </w:rPr>
        <w:t xml:space="preserve">Another study </w:t>
      </w:r>
      <w:r w:rsidRPr="008D6A9F">
        <w:rPr>
          <w:noProof/>
        </w:rPr>
        <w:t xml:space="preserve">found that the positive attitude of mathematics supports the achievement of mathematics </w:t>
      </w:r>
      <w:r w:rsidR="002D4F2F">
        <w:rPr>
          <w:noProof/>
        </w:rPr>
        <w:t xml:space="preserve">within </w:t>
      </w:r>
      <w:r w:rsidRPr="008D6A9F">
        <w:rPr>
          <w:noProof/>
        </w:rPr>
        <w:t>the limit material</w:t>
      </w:r>
      <w:r w:rsidR="00536146" w:rsidRPr="008D6A9F">
        <w:rPr>
          <w:noProof/>
        </w:rPr>
        <w:t xml:space="preserve"> </w:t>
      </w:r>
      <w:r w:rsidR="00536146" w:rsidRPr="008D6A9F">
        <w:rPr>
          <w:noProof/>
        </w:rPr>
        <w:fldChar w:fldCharType="begin" w:fldLock="1"/>
      </w:r>
      <w:r w:rsidR="00985095">
        <w:rPr>
          <w:noProof/>
        </w:rPr>
        <w:instrText>ADDIN CSL_CITATION {"citationItems":[{"id":"ITEM-1","itemData":{"DOI":"10.1007/BF03217413","ISSN":"10332170","author":[{"dropping-particle":"","family":"Leder","given":"Gilah","non-dropping-particle":"","parse-names":false,"suffix":""},{"dropping-particle":"","family":"Grootenboer","given":"Peter","non-dropping-particle":"","parse-names":false,"suffix":""}],"container-title":"Mathematics Education Research Journal","id":"ITEM-1","issue":"2","issued":{"date-parts":[["2005"]]},"page":"1-8","title":"Affect and mathematics education","type":"article-journal","volume":"17"},"uris":["http://www.mendeley.com/documents/?uuid=5ab6f983-a73f-40c8-bb80-c1f444d47687"]}],"mendeley":{"formattedCitation":"(Leder &amp; Grootenboer, 2005)","manualFormatting":"[5]","plainTextFormattedCitation":"(Leder &amp; Grootenboer, 2005)","previouslyFormattedCitation":"(Leder &amp; Grootenboer, 2005)"},"properties":{"noteIndex":0},"schema":"https://github.com/citation-style-language/schema/raw/master/csl-citation.json"}</w:instrText>
      </w:r>
      <w:r w:rsidR="00536146" w:rsidRPr="008D6A9F">
        <w:rPr>
          <w:noProof/>
        </w:rPr>
        <w:fldChar w:fldCharType="separate"/>
      </w:r>
      <w:r w:rsidR="00DF2E42">
        <w:rPr>
          <w:noProof/>
        </w:rPr>
        <w:t>[</w:t>
      </w:r>
      <w:r w:rsidR="00536146" w:rsidRPr="008D6A9F">
        <w:rPr>
          <w:noProof/>
        </w:rPr>
        <w:t>5]</w:t>
      </w:r>
      <w:r w:rsidR="00536146" w:rsidRPr="008D6A9F">
        <w:rPr>
          <w:noProof/>
        </w:rPr>
        <w:fldChar w:fldCharType="end"/>
      </w:r>
      <w:r w:rsidRPr="008D6A9F">
        <w:rPr>
          <w:noProof/>
        </w:rPr>
        <w:t>.</w:t>
      </w:r>
    </w:p>
    <w:p w14:paraId="1490811F" w14:textId="77777777" w:rsidR="004747D2" w:rsidRPr="008D6A9F" w:rsidRDefault="004747D2" w:rsidP="004747D2">
      <w:pPr>
        <w:pStyle w:val="Judul2"/>
        <w:rPr>
          <w:noProof/>
          <w:lang w:val="en-US"/>
        </w:rPr>
      </w:pPr>
      <w:r w:rsidRPr="008D6A9F">
        <w:rPr>
          <w:noProof/>
          <w:lang w:val="en-US"/>
        </w:rPr>
        <w:t>School Background</w:t>
      </w:r>
    </w:p>
    <w:p w14:paraId="06B63DA5" w14:textId="6E080CA7" w:rsidR="004747D2" w:rsidRDefault="004747D2" w:rsidP="004747D2">
      <w:pPr>
        <w:pStyle w:val="Bodytext"/>
        <w:rPr>
          <w:noProof/>
        </w:rPr>
      </w:pPr>
      <w:r w:rsidRPr="008D6A9F">
        <w:rPr>
          <w:noProof/>
        </w:rPr>
        <w:t xml:space="preserve">Schools can also be a factor </w:t>
      </w:r>
      <w:r w:rsidR="00624390">
        <w:rPr>
          <w:noProof/>
        </w:rPr>
        <w:t xml:space="preserve">in the academic achievement of the </w:t>
      </w:r>
      <w:r w:rsidRPr="008D6A9F">
        <w:rPr>
          <w:noProof/>
        </w:rPr>
        <w:t xml:space="preserve">students. The 2009 PISA study informed that overall student performance at country level </w:t>
      </w:r>
      <w:r w:rsidR="00624390">
        <w:rPr>
          <w:noProof/>
        </w:rPr>
        <w:t xml:space="preserve">was </w:t>
      </w:r>
      <w:r w:rsidRPr="008D6A9F">
        <w:rPr>
          <w:noProof/>
        </w:rPr>
        <w:t>attributed</w:t>
      </w:r>
      <w:r w:rsidR="00624390">
        <w:rPr>
          <w:noProof/>
        </w:rPr>
        <w:t xml:space="preserve"> around 40 percent variance due to </w:t>
      </w:r>
      <w:r w:rsidRPr="008D6A9F">
        <w:rPr>
          <w:noProof/>
        </w:rPr>
        <w:t xml:space="preserve">differences in students' ability between schools </w:t>
      </w:r>
      <w:r w:rsidRPr="008D6A9F">
        <w:rPr>
          <w:noProof/>
        </w:rPr>
        <w:fldChar w:fldCharType="begin" w:fldLock="1"/>
      </w:r>
      <w:r w:rsidR="00985095">
        <w:rPr>
          <w:noProof/>
        </w:rPr>
        <w:instrText>ADDIN CSL_CITATION {"citationItems":[{"id":"ITEM-1","itemData":{"DOI":"https://doi.org/10.1787/5k4818hwp89v-en","author":[{"dropping-particle":"","family":"OECD","given":"","non-dropping-particle":"","parse-names":false,"suffix":""}],"container-title":"PISA in Focus","id":"ITEM-1","issue":"No. 27","issued":{"date-parts":[["2013"]]},"publisher":"OECD Publishing","publisher-place":"Paris","title":"Does it matter which school a student attends ?","type":"book"},"uris":["http://www.mendeley.com/documents/?uuid=03a659e3-ccff-4578-b19c-d03ac171cd31"]}],"mendeley":{"formattedCitation":"(OECD, 2013a)","manualFormatting":"[9]","plainTextFormattedCitation":"(OECD, 2013a)","previouslyFormattedCitation":"(OECD, 2013a)"},"properties":{"noteIndex":0},"schema":"https://github.com/citation-style-language/schema/raw/master/csl-citation.json"}</w:instrText>
      </w:r>
      <w:r w:rsidRPr="008D6A9F">
        <w:rPr>
          <w:noProof/>
        </w:rPr>
        <w:fldChar w:fldCharType="separate"/>
      </w:r>
      <w:r w:rsidR="001A70D3" w:rsidRPr="008D6A9F">
        <w:rPr>
          <w:noProof/>
        </w:rPr>
        <w:t>[9]</w:t>
      </w:r>
      <w:r w:rsidRPr="008D6A9F">
        <w:rPr>
          <w:noProof/>
        </w:rPr>
        <w:fldChar w:fldCharType="end"/>
      </w:r>
      <w:r w:rsidRPr="008D6A9F">
        <w:rPr>
          <w:noProof/>
        </w:rPr>
        <w:t>. Differences in school backgrounds</w:t>
      </w:r>
      <w:r w:rsidR="00B26CD3">
        <w:rPr>
          <w:noProof/>
        </w:rPr>
        <w:t>,</w:t>
      </w:r>
      <w:r w:rsidRPr="008D6A9F">
        <w:rPr>
          <w:noProof/>
        </w:rPr>
        <w:t xml:space="preserve"> such as school welfare, where the school (urban/rural)</w:t>
      </w:r>
      <w:r w:rsidR="00B26CD3">
        <w:rPr>
          <w:noProof/>
        </w:rPr>
        <w:t xml:space="preserve"> </w:t>
      </w:r>
      <w:r w:rsidR="00B26CD3" w:rsidRPr="008D6A9F">
        <w:rPr>
          <w:noProof/>
        </w:rPr>
        <w:t>is located</w:t>
      </w:r>
      <w:r w:rsidRPr="008D6A9F">
        <w:rPr>
          <w:noProof/>
        </w:rPr>
        <w:t xml:space="preserve">, and existing policies can be several factors </w:t>
      </w:r>
      <w:r w:rsidRPr="008D6A9F">
        <w:rPr>
          <w:noProof/>
        </w:rPr>
        <w:fldChar w:fldCharType="begin" w:fldLock="1"/>
      </w:r>
      <w:r w:rsidR="00DF2E42">
        <w:rPr>
          <w:noProof/>
        </w:rPr>
        <w:instrText>ADDIN CSL_CITATION {"citationItems":[{"id":"ITEM-1","itemData":{"DOI":"https://doi.org/10.1787/5k4818hwp89v-en","author":[{"dropping-particle":"","family":"OECD","given":"","non-dropping-particle":"","parse-names":false,"suffix":""}],"container-title":"PISA in Focus","id":"ITEM-1","issue":"No. 27","issued":{"date-parts":[["2013"]]},"publisher":"OECD Publishing","publisher-place":"Paris","title":"Does it matter which school a student attends ?","type":"book"},"uris":["http://www.mendeley.com/documents/?uuid=03a659e3-ccff-4578-b19c-d03ac171cd31"]},{"id":"ITEM-2","itemData":{"DOI":"10.1007/s13394-018-0251-9","ISSN":"2211050X","abstract":"In many countries, there is pressure for schools to increase student engagement and skills in mathematics, in particular for disadvantaged students. This is certainly true in Australia. This study repurposes school level data to examine patterns of participation and achievement in senior secondary school mathematics in Victoria, Australia. It confirms that school socioeconomic status (SES) is strongly tied to participation and achievement in these subjects, and that nonmetropolitan schools tend to perform more poorly than metropolitan schools in these areas. It shows that nonmetropolitan schools are less likely to offer advanced mathematics subjects than metropolitan schools, and where they do, their students are less likely to choose those options. This study also reveals that correlations between mathematics performance and SES are far weaker in the nonmetropolitan school population than the metropolitan school population. This suggests that a nonmetropolitan location has a moderating effect on the impact of SES, pointing the way for potentially fruitful lines of future inquiry.","author":[{"dropping-particle":"","family":"Murphy","given":"Steve","non-dropping-particle":"","parse-names":false,"suffix":""}],"container-title":"Mathematics Education Research Journal","id":"ITEM-2","issue":"3","issued":{"date-parts":[["2019"]]},"page":"219-235","publisher":"Mathematics Education Research Journal","title":"School location and socioeconomic status and patterns of participation and achievement in senior secondary mathematics","type":"article-journal","volume":"31"},"uris":["http://www.mendeley.com/documents/?uuid=8552cc88-f5ac-461a-9618-4b455deadd60"]},{"id":"ITEM-3","itemData":{"DOI":"10.1787/5k46l8w342jc-en","author":[{"dropping-particle":"","family":"OECD","given":"","non-dropping-particle":"","parse-names":false,"suffix":""}],"container-title":"PISA in Focus","id":"ITEM-3","issued":{"date-parts":[["2013"]]},"publisher":"OECD Publishing","publisher-place":"Paris","title":"What makes urban schools different?","type":"book","volume":"No. 28"},"uris":["http://www.mendeley.com/documents/?uuid=cd4532f9-c2a9-4067-a811-d931aec62d63"]}],"mendeley":{"formattedCitation":"(Murphy, 2019; OECD, 2013a, 2013b)","manualFormatting":"[7, 9, 10]","plainTextFormattedCitation":"(Murphy, 2019; OECD, 2013a, 2013b)","previouslyFormattedCitation":"(Murphy, 2019; OECD, 2013a, 2013b)"},"properties":{"noteIndex":0},"schema":"https://github.com/citation-style-language/schema/raw/master/csl-citation.json"}</w:instrText>
      </w:r>
      <w:r w:rsidRPr="008D6A9F">
        <w:rPr>
          <w:noProof/>
        </w:rPr>
        <w:fldChar w:fldCharType="separate"/>
      </w:r>
      <w:r w:rsidR="00536146" w:rsidRPr="008D6A9F">
        <w:rPr>
          <w:noProof/>
        </w:rPr>
        <w:t>[7</w:t>
      </w:r>
      <w:r w:rsidRPr="008D6A9F">
        <w:rPr>
          <w:noProof/>
        </w:rPr>
        <w:t xml:space="preserve">, </w:t>
      </w:r>
      <w:r w:rsidR="001A70D3" w:rsidRPr="008D6A9F">
        <w:rPr>
          <w:noProof/>
        </w:rPr>
        <w:t>9</w:t>
      </w:r>
      <w:r w:rsidRPr="008D6A9F">
        <w:rPr>
          <w:noProof/>
        </w:rPr>
        <w:t xml:space="preserve">, </w:t>
      </w:r>
      <w:r w:rsidR="008D6A9F" w:rsidRPr="008D6A9F">
        <w:rPr>
          <w:noProof/>
        </w:rPr>
        <w:t>10]</w:t>
      </w:r>
      <w:r w:rsidRPr="008D6A9F">
        <w:rPr>
          <w:noProof/>
        </w:rPr>
        <w:fldChar w:fldCharType="end"/>
      </w:r>
      <w:r w:rsidRPr="008D6A9F">
        <w:rPr>
          <w:noProof/>
        </w:rPr>
        <w:t>.</w:t>
      </w:r>
    </w:p>
    <w:p w14:paraId="3853D33F" w14:textId="02DBE990" w:rsidR="00624390" w:rsidRDefault="00624390" w:rsidP="00624390">
      <w:pPr>
        <w:pStyle w:val="BodytextIndented"/>
      </w:pPr>
    </w:p>
    <w:p w14:paraId="499BEC57" w14:textId="77777777" w:rsidR="00624390" w:rsidRPr="00624390" w:rsidRDefault="00624390" w:rsidP="00624390">
      <w:pPr>
        <w:pStyle w:val="BodytextIndented"/>
      </w:pPr>
    </w:p>
    <w:p w14:paraId="1867A7B1" w14:textId="416459BE" w:rsidR="004747D2" w:rsidRPr="008D6A9F" w:rsidRDefault="002B2DB0" w:rsidP="007A692B">
      <w:pPr>
        <w:pStyle w:val="Section"/>
        <w:rPr>
          <w:noProof/>
          <w:lang w:val="en-US"/>
        </w:rPr>
      </w:pPr>
      <w:r>
        <w:rPr>
          <w:noProof/>
          <w:lang w:val="en-US"/>
        </w:rPr>
        <w:lastRenderedPageBreak/>
        <w:t>Aim</w:t>
      </w:r>
      <w:r w:rsidR="007A692B" w:rsidRPr="008D6A9F">
        <w:rPr>
          <w:noProof/>
          <w:lang w:val="en-US"/>
        </w:rPr>
        <w:t xml:space="preserve"> and</w:t>
      </w:r>
      <w:r>
        <w:rPr>
          <w:noProof/>
          <w:lang w:val="en-US"/>
        </w:rPr>
        <w:t xml:space="preserve"> Research</w:t>
      </w:r>
      <w:r w:rsidR="007A692B" w:rsidRPr="008D6A9F">
        <w:rPr>
          <w:noProof/>
          <w:lang w:val="en-US"/>
        </w:rPr>
        <w:t xml:space="preserve"> Questions</w:t>
      </w:r>
    </w:p>
    <w:p w14:paraId="5B98EABB" w14:textId="3B337693" w:rsidR="007A692B" w:rsidRPr="008D6A9F" w:rsidRDefault="00B26CD3" w:rsidP="007A692B">
      <w:pPr>
        <w:pStyle w:val="Bodytext"/>
        <w:rPr>
          <w:noProof/>
        </w:rPr>
      </w:pPr>
      <w:r>
        <w:rPr>
          <w:noProof/>
        </w:rPr>
        <w:t>The</w:t>
      </w:r>
      <w:r w:rsidR="007A692B" w:rsidRPr="008D6A9F">
        <w:rPr>
          <w:noProof/>
        </w:rPr>
        <w:t xml:space="preserve"> non-cognitive aspects of students and school background can affect student academic achievement</w:t>
      </w:r>
      <w:r>
        <w:rPr>
          <w:noProof/>
        </w:rPr>
        <w:t xml:space="preserve"> from some literatures shown</w:t>
      </w:r>
      <w:r w:rsidR="007A692B" w:rsidRPr="008D6A9F">
        <w:rPr>
          <w:noProof/>
        </w:rPr>
        <w:t xml:space="preserve">. </w:t>
      </w:r>
      <w:r>
        <w:rPr>
          <w:noProof/>
        </w:rPr>
        <w:t>U</w:t>
      </w:r>
      <w:r w:rsidR="007A692B" w:rsidRPr="008D6A9F">
        <w:rPr>
          <w:noProof/>
        </w:rPr>
        <w:t>sing the student level and school level variables</w:t>
      </w:r>
      <w:r>
        <w:rPr>
          <w:noProof/>
        </w:rPr>
        <w:t>,</w:t>
      </w:r>
      <w:r w:rsidR="007A692B" w:rsidRPr="008D6A9F">
        <w:rPr>
          <w:noProof/>
        </w:rPr>
        <w:t xml:space="preserve"> the researcher aims to </w:t>
      </w:r>
      <w:r>
        <w:rPr>
          <w:noProof/>
        </w:rPr>
        <w:t>use multilevel modeling to find out</w:t>
      </w:r>
      <w:r w:rsidR="007A692B" w:rsidRPr="008D6A9F">
        <w:rPr>
          <w:noProof/>
        </w:rPr>
        <w:t xml:space="preserve"> the mathematics abilities of Indonesian students in PISA 2018. Some questions to </w:t>
      </w:r>
      <w:r>
        <w:rPr>
          <w:noProof/>
        </w:rPr>
        <w:t xml:space="preserve">answer from the research are </w:t>
      </w:r>
      <w:r w:rsidR="007A692B" w:rsidRPr="008D6A9F">
        <w:rPr>
          <w:noProof/>
        </w:rPr>
        <w:t>as follows.</w:t>
      </w:r>
    </w:p>
    <w:p w14:paraId="1471FDB0" w14:textId="77777777" w:rsidR="007A692B" w:rsidRPr="007A692B" w:rsidRDefault="007A692B" w:rsidP="007A692B">
      <w:pPr>
        <w:pStyle w:val="BodytextIndented"/>
        <w:numPr>
          <w:ilvl w:val="0"/>
          <w:numId w:val="6"/>
        </w:numPr>
        <w:ind w:left="426"/>
        <w:rPr>
          <w:noProof/>
        </w:rPr>
      </w:pPr>
      <w:r w:rsidRPr="007A692B">
        <w:rPr>
          <w:noProof/>
        </w:rPr>
        <w:t>How big is the variance in students' math scores at between school and within-school levels?</w:t>
      </w:r>
    </w:p>
    <w:p w14:paraId="741DFA63" w14:textId="77777777" w:rsidR="007A692B" w:rsidRPr="007A692B" w:rsidRDefault="007A692B" w:rsidP="007A692B">
      <w:pPr>
        <w:pStyle w:val="BodytextIndented"/>
        <w:numPr>
          <w:ilvl w:val="0"/>
          <w:numId w:val="6"/>
        </w:numPr>
        <w:ind w:left="426"/>
        <w:rPr>
          <w:noProof/>
        </w:rPr>
      </w:pPr>
      <w:r w:rsidRPr="007A692B">
        <w:rPr>
          <w:noProof/>
        </w:rPr>
        <w:t>Which factor is statistically significant for predicting math scores?</w:t>
      </w:r>
    </w:p>
    <w:p w14:paraId="3D1BA3AC" w14:textId="77777777" w:rsidR="007A692B" w:rsidRPr="008D6A9F" w:rsidRDefault="007A692B" w:rsidP="00110A1E">
      <w:pPr>
        <w:pStyle w:val="BodytextIndented"/>
        <w:numPr>
          <w:ilvl w:val="0"/>
          <w:numId w:val="6"/>
        </w:numPr>
        <w:ind w:left="426"/>
        <w:rPr>
          <w:noProof/>
        </w:rPr>
      </w:pPr>
      <w:r w:rsidRPr="007A692B">
        <w:rPr>
          <w:noProof/>
        </w:rPr>
        <w:t>Which factor is the strongest predictor for explaining mathematics score in the final multilevel model?</w:t>
      </w:r>
    </w:p>
    <w:p w14:paraId="6862D320" w14:textId="77777777" w:rsidR="007A692B" w:rsidRPr="008D6A9F" w:rsidRDefault="007A692B" w:rsidP="00110A1E">
      <w:pPr>
        <w:pStyle w:val="BodytextIndented"/>
        <w:numPr>
          <w:ilvl w:val="0"/>
          <w:numId w:val="6"/>
        </w:numPr>
        <w:ind w:left="426"/>
        <w:rPr>
          <w:noProof/>
        </w:rPr>
      </w:pPr>
      <w:r w:rsidRPr="008D6A9F">
        <w:rPr>
          <w:noProof/>
        </w:rPr>
        <w:t>How big is the total variance explained by the predictor variables in the final multilevel model?</w:t>
      </w:r>
    </w:p>
    <w:p w14:paraId="324A6411" w14:textId="77777777" w:rsidR="00517790" w:rsidRPr="008D6A9F" w:rsidRDefault="00517790" w:rsidP="00517790">
      <w:pPr>
        <w:pStyle w:val="Section"/>
        <w:rPr>
          <w:noProof/>
          <w:lang w:val="en-US"/>
        </w:rPr>
      </w:pPr>
      <w:r w:rsidRPr="008D6A9F">
        <w:rPr>
          <w:noProof/>
          <w:lang w:val="en-US"/>
        </w:rPr>
        <w:t>Method</w:t>
      </w:r>
    </w:p>
    <w:p w14:paraId="6AEDBA2A" w14:textId="77777777" w:rsidR="00517790" w:rsidRPr="008D6A9F" w:rsidRDefault="00517790" w:rsidP="00517790">
      <w:pPr>
        <w:pStyle w:val="Judul2"/>
        <w:rPr>
          <w:noProof/>
          <w:lang w:val="en-US"/>
        </w:rPr>
      </w:pPr>
      <w:r w:rsidRPr="008D6A9F">
        <w:rPr>
          <w:noProof/>
          <w:lang w:val="en-US"/>
        </w:rPr>
        <w:t>PISA Design</w:t>
      </w:r>
    </w:p>
    <w:p w14:paraId="3D0BBCDE" w14:textId="39BEDAB9" w:rsidR="00517790" w:rsidRPr="008D6A9F" w:rsidRDefault="00517790" w:rsidP="00C80465">
      <w:pPr>
        <w:jc w:val="both"/>
        <w:rPr>
          <w:noProof/>
          <w:lang w:val="en-US"/>
        </w:rPr>
      </w:pPr>
      <w:r w:rsidRPr="008D6A9F">
        <w:rPr>
          <w:noProof/>
          <w:lang w:val="en-US"/>
        </w:rPr>
        <w:t xml:space="preserve">PISA is a triennial survey of </w:t>
      </w:r>
      <w:r w:rsidR="00B26CD3">
        <w:rPr>
          <w:noProof/>
          <w:lang w:val="en-US"/>
        </w:rPr>
        <w:t>15</w:t>
      </w:r>
      <w:r w:rsidRPr="008D6A9F">
        <w:rPr>
          <w:noProof/>
          <w:lang w:val="en-US"/>
        </w:rPr>
        <w:t xml:space="preserve">-year-old students </w:t>
      </w:r>
      <w:r w:rsidR="00B26CD3">
        <w:rPr>
          <w:noProof/>
          <w:lang w:val="en-US"/>
        </w:rPr>
        <w:t xml:space="preserve">worldwide, measuring </w:t>
      </w:r>
      <w:r w:rsidRPr="008D6A9F">
        <w:rPr>
          <w:noProof/>
          <w:lang w:val="en-US"/>
        </w:rPr>
        <w:t xml:space="preserve">the extent to which students have gained important knowledge and skills to participate in socio-economic life </w:t>
      </w:r>
      <w:r w:rsidRPr="008D6A9F">
        <w:rPr>
          <w:noProof/>
          <w:lang w:val="en-US"/>
        </w:rPr>
        <w:fldChar w:fldCharType="begin" w:fldLock="1"/>
      </w:r>
      <w:r w:rsidR="00985095">
        <w:rPr>
          <w:noProof/>
          <w:lang w:val="en-US"/>
        </w:rPr>
        <w:instrText>ADDIN CSL_CITATION {"citationItems":[{"id":"ITEM-1","itemData":{"DOI":"10.1787/5f07c754-en","ISBN":"9789264460386","author":[{"dropping-particle":"","family":"OECD","given":"","non-dropping-particle":"","parse-names":false,"suffix":""}],"editor":[{"dropping-particle":"","family":"PISA","given":"","non-dropping-particle":"","parse-names":false,"suffix":""}],"id":"ITEM-1","issued":{"date-parts":[["2019"]]},"number-of-pages":"1-254","publisher":"OECD Publishing","publisher-place":"Paris","title":"PISA 2018 Results (Volume I): What Students Know and Can Do","type":"book","volume":"I"},"uris":["http://www.mendeley.com/documents/?uuid=31256c66-37be-4ec5-8c66-03aded7313e6"]}],"mendeley":{"formattedCitation":"(OECD, 2019b)","manualFormatting":"[17]","plainTextFormattedCitation":"(OECD, 2019b)","previouslyFormattedCitation":"(OECD, 2019b)"},"properties":{"noteIndex":0},"schema":"https://github.com/citation-style-language/schema/raw/master/csl-citation.json"}</w:instrText>
      </w:r>
      <w:r w:rsidRPr="008D6A9F">
        <w:rPr>
          <w:noProof/>
          <w:lang w:val="en-US"/>
        </w:rPr>
        <w:fldChar w:fldCharType="separate"/>
      </w:r>
      <w:r w:rsidR="008D6A9F" w:rsidRPr="008D6A9F">
        <w:rPr>
          <w:noProof/>
          <w:lang w:val="en-US"/>
        </w:rPr>
        <w:t>[17]</w:t>
      </w:r>
      <w:r w:rsidRPr="008D6A9F">
        <w:rPr>
          <w:noProof/>
          <w:lang w:val="en-US"/>
        </w:rPr>
        <w:fldChar w:fldCharType="end"/>
      </w:r>
      <w:r w:rsidRPr="008D6A9F">
        <w:rPr>
          <w:noProof/>
          <w:lang w:val="en-US"/>
        </w:rPr>
        <w:t xml:space="preserve">. Three important aspects measured are the reading, science and mathematics ability. In 2018 reading ability became a major aspect. All aspects are measured by computer. In addition, </w:t>
      </w:r>
      <w:r w:rsidR="00B26CD3">
        <w:rPr>
          <w:noProof/>
          <w:lang w:val="en-US"/>
        </w:rPr>
        <w:t xml:space="preserve">also </w:t>
      </w:r>
      <w:r w:rsidRPr="008D6A9F">
        <w:rPr>
          <w:noProof/>
          <w:lang w:val="en-US"/>
        </w:rPr>
        <w:t xml:space="preserve">questionnaires were given to students and principals </w:t>
      </w:r>
      <w:r w:rsidRPr="008D6A9F">
        <w:rPr>
          <w:noProof/>
          <w:lang w:val="en-US"/>
        </w:rPr>
        <w:fldChar w:fldCharType="begin" w:fldLock="1"/>
      </w:r>
      <w:r w:rsidR="00985095">
        <w:rPr>
          <w:noProof/>
          <w:lang w:val="en-US"/>
        </w:rPr>
        <w:instrText>ADDIN CSL_CITATION {"citationItems":[{"id":"ITEM-1","itemData":{"ISBN":"9789264970427","author":[{"dropping-particle":"","family":"OECD","given":"","non-dropping-particle":"","parse-names":false,"suffix":""}],"container-title":"OECD Publishing","editor":[{"dropping-particle":"","family":"PISA","given":"","non-dropping-particle":"","parse-names":false,"suffix":""}],"id":"ITEM-1","issued":{"date-parts":[["2019"]]},"publisher":"OECD Publishing","publisher-place":"Paris","title":"PISA 2018 Results (Volume III): What School Life Means for Students' Lives","type":"book"},"uris":["http://www.mendeley.com/documents/?uuid=dadb3f3b-3e98-470b-8b08-cf56c174e5bc"]}],"mendeley":{"formattedCitation":"(OECD, 2019c)","manualFormatting":"[18]","plainTextFormattedCitation":"(OECD, 2019c)","previouslyFormattedCitation":"(OECD, 2019c)"},"properties":{"noteIndex":0},"schema":"https://github.com/citation-style-language/schema/raw/master/csl-citation.json"}</w:instrText>
      </w:r>
      <w:r w:rsidRPr="008D6A9F">
        <w:rPr>
          <w:noProof/>
          <w:lang w:val="en-US"/>
        </w:rPr>
        <w:fldChar w:fldCharType="separate"/>
      </w:r>
      <w:r w:rsidR="008D6A9F" w:rsidRPr="008D6A9F">
        <w:rPr>
          <w:noProof/>
          <w:lang w:val="en-US"/>
        </w:rPr>
        <w:t>[18]</w:t>
      </w:r>
      <w:r w:rsidRPr="008D6A9F">
        <w:rPr>
          <w:noProof/>
          <w:lang w:val="en-US"/>
        </w:rPr>
        <w:fldChar w:fldCharType="end"/>
      </w:r>
      <w:r w:rsidRPr="008D6A9F">
        <w:rPr>
          <w:noProof/>
          <w:lang w:val="en-US"/>
        </w:rPr>
        <w:t>.</w:t>
      </w:r>
    </w:p>
    <w:p w14:paraId="065961CD" w14:textId="77777777" w:rsidR="00517790" w:rsidRPr="008D6A9F" w:rsidRDefault="00517790" w:rsidP="00517790">
      <w:pPr>
        <w:pStyle w:val="Judul2"/>
        <w:rPr>
          <w:noProof/>
          <w:lang w:val="en-US"/>
        </w:rPr>
      </w:pPr>
      <w:r w:rsidRPr="008D6A9F">
        <w:rPr>
          <w:noProof/>
          <w:lang w:val="en-US"/>
        </w:rPr>
        <w:t>Data Sources and Sampli</w:t>
      </w:r>
      <w:r w:rsidR="00031164" w:rsidRPr="008D6A9F">
        <w:rPr>
          <w:noProof/>
          <w:lang w:val="en-US"/>
        </w:rPr>
        <w:t>ng</w:t>
      </w:r>
    </w:p>
    <w:p w14:paraId="2E099E16" w14:textId="500428E0" w:rsidR="00517790" w:rsidRPr="008D6A9F" w:rsidRDefault="00031164" w:rsidP="00F77D5B">
      <w:pPr>
        <w:jc w:val="both"/>
        <w:rPr>
          <w:noProof/>
          <w:lang w:val="en-US"/>
        </w:rPr>
      </w:pPr>
      <w:r w:rsidRPr="008D6A9F">
        <w:rPr>
          <w:noProof/>
          <w:lang w:val="en-US"/>
        </w:rPr>
        <w:t xml:space="preserve">The data used is the result of PISA 2018 which </w:t>
      </w:r>
      <w:r w:rsidR="00B21DC5">
        <w:rPr>
          <w:noProof/>
          <w:lang w:val="en-US"/>
        </w:rPr>
        <w:t xml:space="preserve">is available for </w:t>
      </w:r>
      <w:r w:rsidRPr="008D6A9F">
        <w:rPr>
          <w:noProof/>
          <w:lang w:val="en-US"/>
        </w:rPr>
        <w:t>download</w:t>
      </w:r>
      <w:r w:rsidR="00B21DC5">
        <w:rPr>
          <w:noProof/>
          <w:lang w:val="en-US"/>
        </w:rPr>
        <w:t xml:space="preserve"> </w:t>
      </w:r>
      <w:r w:rsidRPr="008D6A9F">
        <w:rPr>
          <w:noProof/>
          <w:lang w:val="en-US"/>
        </w:rPr>
        <w:t>on the official website</w:t>
      </w:r>
      <w:r w:rsidR="00B21DC5">
        <w:rPr>
          <w:noProof/>
          <w:lang w:val="en-US"/>
        </w:rPr>
        <w:t xml:space="preserve"> of the OECD</w:t>
      </w:r>
      <w:r w:rsidRPr="008D6A9F">
        <w:rPr>
          <w:noProof/>
          <w:lang w:val="en-US"/>
        </w:rPr>
        <w:t>. A</w:t>
      </w:r>
      <w:r w:rsidR="00B21DC5">
        <w:rPr>
          <w:noProof/>
          <w:lang w:val="en-US"/>
        </w:rPr>
        <w:t>proximately</w:t>
      </w:r>
      <w:r w:rsidRPr="008D6A9F">
        <w:rPr>
          <w:noProof/>
          <w:lang w:val="en-US"/>
        </w:rPr>
        <w:t xml:space="preserve"> 600,000 students completed the assessment representing </w:t>
      </w:r>
      <w:r w:rsidR="00B21DC5">
        <w:rPr>
          <w:noProof/>
          <w:lang w:val="en-US"/>
        </w:rPr>
        <w:t>32</w:t>
      </w:r>
      <w:r w:rsidRPr="008D6A9F">
        <w:rPr>
          <w:noProof/>
          <w:lang w:val="en-US"/>
        </w:rPr>
        <w:t xml:space="preserve"> million </w:t>
      </w:r>
      <w:r w:rsidR="00B21DC5">
        <w:rPr>
          <w:noProof/>
          <w:lang w:val="en-US"/>
        </w:rPr>
        <w:t>15</w:t>
      </w:r>
      <w:r w:rsidRPr="008D6A9F">
        <w:rPr>
          <w:noProof/>
          <w:lang w:val="en-US"/>
        </w:rPr>
        <w:t xml:space="preserve">-year-old students in 79 countries and economies. These students may </w:t>
      </w:r>
      <w:r w:rsidR="00B21DC5">
        <w:rPr>
          <w:noProof/>
          <w:lang w:val="en-US"/>
        </w:rPr>
        <w:t>participate</w:t>
      </w:r>
      <w:r w:rsidRPr="008D6A9F">
        <w:rPr>
          <w:noProof/>
          <w:lang w:val="en-US"/>
        </w:rPr>
        <w:t xml:space="preserve"> in various</w:t>
      </w:r>
      <w:r w:rsidR="00B21DC5">
        <w:rPr>
          <w:noProof/>
          <w:lang w:val="en-US"/>
        </w:rPr>
        <w:t xml:space="preserve"> </w:t>
      </w:r>
      <w:r w:rsidRPr="008D6A9F">
        <w:rPr>
          <w:noProof/>
          <w:lang w:val="en-US"/>
        </w:rPr>
        <w:t>programs or levels</w:t>
      </w:r>
      <w:r w:rsidR="00B21DC5">
        <w:rPr>
          <w:noProof/>
          <w:lang w:val="en-US"/>
        </w:rPr>
        <w:t xml:space="preserve"> of education</w:t>
      </w:r>
      <w:r w:rsidRPr="008D6A9F">
        <w:rPr>
          <w:noProof/>
          <w:lang w:val="en-US"/>
        </w:rPr>
        <w:t xml:space="preserve"> in a country. Indonesian students could have been in grade 9 or 10</w:t>
      </w:r>
      <w:r w:rsidR="004C68C3">
        <w:rPr>
          <w:noProof/>
          <w:lang w:val="en-US"/>
        </w:rPr>
        <w:t>,</w:t>
      </w:r>
      <w:r w:rsidR="00253CC6">
        <w:rPr>
          <w:noProof/>
          <w:lang w:val="en-US"/>
        </w:rPr>
        <w:t xml:space="preserve"> </w:t>
      </w:r>
      <w:r w:rsidR="004C68C3">
        <w:rPr>
          <w:noProof/>
          <w:lang w:val="en-US"/>
        </w:rPr>
        <w:t xml:space="preserve">with </w:t>
      </w:r>
      <w:r w:rsidR="00253CC6" w:rsidRPr="00253CC6">
        <w:rPr>
          <w:noProof/>
          <w:lang w:val="en-US"/>
        </w:rPr>
        <w:t>12</w:t>
      </w:r>
      <w:r w:rsidR="004C68C3">
        <w:rPr>
          <w:noProof/>
          <w:lang w:val="en-US"/>
        </w:rPr>
        <w:t>,</w:t>
      </w:r>
      <w:r w:rsidR="00253CC6" w:rsidRPr="00253CC6">
        <w:rPr>
          <w:noProof/>
          <w:lang w:val="en-US"/>
        </w:rPr>
        <w:t xml:space="preserve">098 </w:t>
      </w:r>
      <w:r w:rsidR="00253CC6">
        <w:rPr>
          <w:noProof/>
          <w:lang w:val="en-US"/>
        </w:rPr>
        <w:t xml:space="preserve">students in </w:t>
      </w:r>
      <w:r w:rsidR="00253CC6" w:rsidRPr="00253CC6">
        <w:rPr>
          <w:noProof/>
          <w:lang w:val="en-US"/>
        </w:rPr>
        <w:t>397</w:t>
      </w:r>
      <w:r w:rsidR="00253CC6">
        <w:rPr>
          <w:noProof/>
          <w:lang w:val="en-US"/>
        </w:rPr>
        <w:t xml:space="preserve"> schools</w:t>
      </w:r>
      <w:r w:rsidR="004C68C3">
        <w:rPr>
          <w:noProof/>
          <w:lang w:val="en-US"/>
        </w:rPr>
        <w:t xml:space="preserve"> represented</w:t>
      </w:r>
      <w:r w:rsidR="00253CC6">
        <w:rPr>
          <w:noProof/>
          <w:lang w:val="en-US"/>
        </w:rPr>
        <w:t>.</w:t>
      </w:r>
      <w:r w:rsidRPr="008D6A9F">
        <w:rPr>
          <w:noProof/>
          <w:lang w:val="en-US"/>
        </w:rPr>
        <w:t xml:space="preserve"> In this study, </w:t>
      </w:r>
      <w:r w:rsidR="004C68C3">
        <w:rPr>
          <w:noProof/>
          <w:lang w:val="en-US"/>
        </w:rPr>
        <w:t xml:space="preserve">Indonesian students took </w:t>
      </w:r>
      <w:r w:rsidRPr="008D6A9F">
        <w:rPr>
          <w:noProof/>
          <w:lang w:val="en-US"/>
        </w:rPr>
        <w:t xml:space="preserve">complete data, </w:t>
      </w:r>
      <w:r w:rsidR="004C68C3">
        <w:rPr>
          <w:noProof/>
          <w:lang w:val="en-US"/>
        </w:rPr>
        <w:t xml:space="preserve">which </w:t>
      </w:r>
      <w:r w:rsidRPr="008D6A9F">
        <w:rPr>
          <w:noProof/>
          <w:lang w:val="en-US"/>
        </w:rPr>
        <w:t>amount</w:t>
      </w:r>
      <w:r w:rsidR="004C68C3">
        <w:rPr>
          <w:noProof/>
          <w:lang w:val="en-US"/>
        </w:rPr>
        <w:t>s</w:t>
      </w:r>
      <w:r w:rsidRPr="008D6A9F">
        <w:rPr>
          <w:noProof/>
          <w:lang w:val="en-US"/>
        </w:rPr>
        <w:t xml:space="preserve"> to 9</w:t>
      </w:r>
      <w:r w:rsidR="00E20E87">
        <w:rPr>
          <w:noProof/>
          <w:lang w:val="en-US"/>
        </w:rPr>
        <w:t>,</w:t>
      </w:r>
      <w:r w:rsidRPr="008D6A9F">
        <w:rPr>
          <w:noProof/>
          <w:lang w:val="en-US"/>
        </w:rPr>
        <w:t>262 in 334 schools.</w:t>
      </w:r>
    </w:p>
    <w:p w14:paraId="420276B4" w14:textId="16031CA6" w:rsidR="00031164" w:rsidRPr="008D6A9F" w:rsidRDefault="00031164" w:rsidP="00031164">
      <w:pPr>
        <w:pStyle w:val="BodytextIndented"/>
        <w:rPr>
          <w:noProof/>
        </w:rPr>
      </w:pPr>
      <w:r w:rsidRPr="008D6A9F">
        <w:rPr>
          <w:noProof/>
        </w:rPr>
        <w:t xml:space="preserve">The PISA survey uses a complex methodology </w:t>
      </w:r>
      <w:r w:rsidRPr="008D6A9F">
        <w:rPr>
          <w:noProof/>
        </w:rPr>
        <w:fldChar w:fldCharType="begin" w:fldLock="1"/>
      </w:r>
      <w:r w:rsidR="00985095">
        <w:rPr>
          <w:noProof/>
        </w:rPr>
        <w:instrText>ADDIN CSL_CITATION {"citationItems":[{"id":"ITEM-1","itemData":{"DOI":"10.1109/ICBN.2005.1589722","ISBN":"9789264056268","author":[{"dropping-particle":"","family":"OECD","given":"","non-dropping-particle":"","parse-names":false,"suffix":""}],"container-title":"OECD Publishing","edition":"2","id":"ITEM-1","issued":{"date-parts":[["2009"]]},"publisher":"OECD Publishing","title":"PISA Data Analysis Manual SPSS","type":"book"},"uris":["http://www.mendeley.com/documents/?uuid=1f4d888c-3e5a-47cf-bc25-a80832932a4a"]}],"mendeley":{"formattedCitation":"(OECD, 2009)","manualFormatting":"[8]","plainTextFormattedCitation":"(OECD, 2009)","previouslyFormattedCitation":"(OECD, 2009)"},"properties":{"noteIndex":0},"schema":"https://github.com/citation-style-language/schema/raw/master/csl-citation.json"}</w:instrText>
      </w:r>
      <w:r w:rsidRPr="008D6A9F">
        <w:rPr>
          <w:noProof/>
        </w:rPr>
        <w:fldChar w:fldCharType="separate"/>
      </w:r>
      <w:r w:rsidR="001A70D3" w:rsidRPr="008D6A9F">
        <w:rPr>
          <w:noProof/>
        </w:rPr>
        <w:t>[8]</w:t>
      </w:r>
      <w:r w:rsidRPr="008D6A9F">
        <w:rPr>
          <w:noProof/>
        </w:rPr>
        <w:fldChar w:fldCharType="end"/>
      </w:r>
      <w:r w:rsidRPr="008D6A9F">
        <w:rPr>
          <w:noProof/>
        </w:rPr>
        <w:t xml:space="preserve">. </w:t>
      </w:r>
      <w:r w:rsidR="004C68C3">
        <w:rPr>
          <w:noProof/>
        </w:rPr>
        <w:t xml:space="preserve">The </w:t>
      </w:r>
      <w:r w:rsidRPr="008D6A9F">
        <w:rPr>
          <w:noProof/>
        </w:rPr>
        <w:t xml:space="preserve">PISA does not use simple random samples for students. This study chose a two stages </w:t>
      </w:r>
      <w:r w:rsidR="004C68C3">
        <w:rPr>
          <w:noProof/>
        </w:rPr>
        <w:t xml:space="preserve">sample </w:t>
      </w:r>
      <w:r w:rsidRPr="008D6A9F">
        <w:rPr>
          <w:noProof/>
        </w:rPr>
        <w:t xml:space="preserve">starting </w:t>
      </w:r>
      <w:r w:rsidR="004C68C3">
        <w:rPr>
          <w:noProof/>
        </w:rPr>
        <w:t>with the</w:t>
      </w:r>
      <w:r w:rsidRPr="008D6A9F">
        <w:rPr>
          <w:noProof/>
        </w:rPr>
        <w:t xml:space="preserve"> school and then </w:t>
      </w:r>
      <w:r w:rsidR="004C68C3">
        <w:rPr>
          <w:noProof/>
        </w:rPr>
        <w:t xml:space="preserve">with the </w:t>
      </w:r>
      <w:r w:rsidRPr="008D6A9F">
        <w:rPr>
          <w:noProof/>
        </w:rPr>
        <w:t xml:space="preserve">students. </w:t>
      </w:r>
      <w:r w:rsidR="004C68C3">
        <w:rPr>
          <w:noProof/>
        </w:rPr>
        <w:t xml:space="preserve">The </w:t>
      </w:r>
      <w:r w:rsidRPr="008D6A9F">
        <w:rPr>
          <w:noProof/>
        </w:rPr>
        <w:t>PISA also uses the imputation method presented in plausible values ​​to report students' abilities.</w:t>
      </w:r>
    </w:p>
    <w:p w14:paraId="7390A085" w14:textId="77777777" w:rsidR="00517790" w:rsidRPr="008D6A9F" w:rsidRDefault="00031164" w:rsidP="00031164">
      <w:pPr>
        <w:pStyle w:val="Judul2"/>
        <w:rPr>
          <w:noProof/>
          <w:lang w:val="en-US"/>
        </w:rPr>
      </w:pPr>
      <w:r w:rsidRPr="008D6A9F">
        <w:rPr>
          <w:noProof/>
          <w:lang w:val="en-US"/>
        </w:rPr>
        <w:t>Data Analysis</w:t>
      </w:r>
    </w:p>
    <w:p w14:paraId="0E6AF2F3" w14:textId="5CBF0E38" w:rsidR="00031164" w:rsidRPr="008D6A9F" w:rsidRDefault="004C68C3" w:rsidP="00F77D5B">
      <w:pPr>
        <w:jc w:val="both"/>
        <w:rPr>
          <w:noProof/>
          <w:lang w:val="en-US"/>
        </w:rPr>
      </w:pPr>
      <w:r>
        <w:rPr>
          <w:noProof/>
          <w:lang w:val="en-US"/>
        </w:rPr>
        <w:t>M</w:t>
      </w:r>
      <w:r w:rsidR="00031164" w:rsidRPr="008D6A9F">
        <w:rPr>
          <w:noProof/>
          <w:lang w:val="en-US"/>
        </w:rPr>
        <w:t>ultilevel</w:t>
      </w:r>
      <w:r>
        <w:rPr>
          <w:noProof/>
          <w:lang w:val="en-US"/>
        </w:rPr>
        <w:t xml:space="preserve"> </w:t>
      </w:r>
      <w:r w:rsidR="00031164" w:rsidRPr="008D6A9F">
        <w:rPr>
          <w:noProof/>
          <w:lang w:val="en-US"/>
        </w:rPr>
        <w:t>model</w:t>
      </w:r>
      <w:r>
        <w:rPr>
          <w:noProof/>
          <w:lang w:val="en-US"/>
        </w:rPr>
        <w:t>ing</w:t>
      </w:r>
      <w:r w:rsidR="00031164" w:rsidRPr="008D6A9F">
        <w:rPr>
          <w:noProof/>
          <w:lang w:val="en-US"/>
        </w:rPr>
        <w:t xml:space="preserve"> </w:t>
      </w:r>
      <w:r>
        <w:rPr>
          <w:noProof/>
          <w:lang w:val="en-US"/>
        </w:rPr>
        <w:t xml:space="preserve">of two levels using </w:t>
      </w:r>
      <w:r w:rsidR="00031164" w:rsidRPr="008D6A9F">
        <w:rPr>
          <w:noProof/>
          <w:lang w:val="en-US"/>
        </w:rPr>
        <w:t xml:space="preserve">PISA 2018 data was </w:t>
      </w:r>
      <w:r>
        <w:rPr>
          <w:noProof/>
          <w:lang w:val="en-US"/>
        </w:rPr>
        <w:t>analyzed using the nlme package in R’s open source program [</w:t>
      </w:r>
      <w:r w:rsidR="00D03E79">
        <w:rPr>
          <w:noProof/>
          <w:lang w:val="en-US"/>
        </w:rPr>
        <w:t>22</w:t>
      </w:r>
      <w:r>
        <w:rPr>
          <w:noProof/>
          <w:lang w:val="en-US"/>
        </w:rPr>
        <w:t>]</w:t>
      </w:r>
      <w:r w:rsidR="00031164" w:rsidRPr="008D6A9F">
        <w:rPr>
          <w:noProof/>
          <w:lang w:val="en-US"/>
        </w:rPr>
        <w:t>.</w:t>
      </w:r>
      <w:r w:rsidR="00405B21">
        <w:rPr>
          <w:noProof/>
          <w:lang w:val="en-US"/>
        </w:rPr>
        <w:t xml:space="preserve"> This study used </w:t>
      </w:r>
      <w:r>
        <w:rPr>
          <w:noProof/>
          <w:lang w:val="en-US"/>
        </w:rPr>
        <w:t xml:space="preserve">the </w:t>
      </w:r>
      <w:r w:rsidR="00405B21">
        <w:rPr>
          <w:noProof/>
          <w:lang w:val="en-US"/>
        </w:rPr>
        <w:t xml:space="preserve">random intercepts model </w:t>
      </w:r>
      <w:r>
        <w:rPr>
          <w:noProof/>
          <w:lang w:val="en-US"/>
        </w:rPr>
        <w:t>in</w:t>
      </w:r>
      <w:r w:rsidR="00405B21">
        <w:rPr>
          <w:noProof/>
          <w:lang w:val="en-US"/>
        </w:rPr>
        <w:t xml:space="preserve"> the analysis. </w:t>
      </w:r>
      <w:r w:rsidR="00031164" w:rsidRPr="008D6A9F">
        <w:rPr>
          <w:noProof/>
          <w:lang w:val="en-US"/>
        </w:rPr>
        <w:t>The predictor variables at the student level include life satisfaction (</w:t>
      </w:r>
      <w:r w:rsidR="008B357D">
        <w:rPr>
          <w:noProof/>
          <w:lang w:val="en-US"/>
        </w:rPr>
        <w:t>LS</w:t>
      </w:r>
      <w:r w:rsidR="00031164" w:rsidRPr="008D6A9F">
        <w:rPr>
          <w:noProof/>
          <w:lang w:val="en-US"/>
        </w:rPr>
        <w:t>), happy (</w:t>
      </w:r>
      <w:r w:rsidR="008B357D">
        <w:rPr>
          <w:noProof/>
          <w:lang w:val="en-US"/>
        </w:rPr>
        <w:t>HPY</w:t>
      </w:r>
      <w:r w:rsidR="00031164" w:rsidRPr="008D6A9F">
        <w:rPr>
          <w:noProof/>
          <w:lang w:val="en-US"/>
        </w:rPr>
        <w:t>), lively (</w:t>
      </w:r>
      <w:r w:rsidR="008B357D">
        <w:rPr>
          <w:noProof/>
          <w:lang w:val="en-US"/>
        </w:rPr>
        <w:t>LVL</w:t>
      </w:r>
      <w:r w:rsidR="00031164" w:rsidRPr="008D6A9F">
        <w:rPr>
          <w:noProof/>
          <w:lang w:val="en-US"/>
        </w:rPr>
        <w:t>), proud (</w:t>
      </w:r>
      <w:r w:rsidR="008B357D">
        <w:rPr>
          <w:noProof/>
          <w:lang w:val="en-US"/>
        </w:rPr>
        <w:t>PRD</w:t>
      </w:r>
      <w:r w:rsidR="00031164" w:rsidRPr="008D6A9F">
        <w:rPr>
          <w:noProof/>
          <w:lang w:val="en-US"/>
        </w:rPr>
        <w:t>), joyful (</w:t>
      </w:r>
      <w:r w:rsidR="000E0D20">
        <w:rPr>
          <w:noProof/>
          <w:lang w:val="en-US"/>
        </w:rPr>
        <w:t>JOY</w:t>
      </w:r>
      <w:r w:rsidR="00031164" w:rsidRPr="008D6A9F">
        <w:rPr>
          <w:noProof/>
          <w:lang w:val="en-US"/>
        </w:rPr>
        <w:t>), and cheerful (CR</w:t>
      </w:r>
      <w:r w:rsidR="000E0D20">
        <w:rPr>
          <w:noProof/>
          <w:lang w:val="en-US"/>
        </w:rPr>
        <w:t>F</w:t>
      </w:r>
      <w:r w:rsidR="00031164" w:rsidRPr="008D6A9F">
        <w:rPr>
          <w:noProof/>
          <w:lang w:val="en-US"/>
        </w:rPr>
        <w:t>), scared (</w:t>
      </w:r>
      <w:r w:rsidR="000E0D20">
        <w:rPr>
          <w:noProof/>
          <w:lang w:val="en-US"/>
        </w:rPr>
        <w:t>SCR</w:t>
      </w:r>
      <w:r w:rsidR="00031164" w:rsidRPr="008D6A9F">
        <w:rPr>
          <w:noProof/>
          <w:lang w:val="en-US"/>
        </w:rPr>
        <w:t>), miserable (</w:t>
      </w:r>
      <w:r w:rsidR="000E0D20">
        <w:rPr>
          <w:noProof/>
          <w:lang w:val="en-US"/>
        </w:rPr>
        <w:t>MSR</w:t>
      </w:r>
      <w:r w:rsidR="00031164" w:rsidRPr="008D6A9F">
        <w:rPr>
          <w:noProof/>
          <w:lang w:val="en-US"/>
        </w:rPr>
        <w:t>), afraid (</w:t>
      </w:r>
      <w:r w:rsidR="000E0D20">
        <w:rPr>
          <w:noProof/>
          <w:lang w:val="en-US"/>
        </w:rPr>
        <w:t>AFR</w:t>
      </w:r>
      <w:r w:rsidR="00031164" w:rsidRPr="008D6A9F">
        <w:rPr>
          <w:noProof/>
          <w:lang w:val="en-US"/>
        </w:rPr>
        <w:t>), and sad (</w:t>
      </w:r>
      <w:r w:rsidR="000E0D20">
        <w:rPr>
          <w:noProof/>
          <w:lang w:val="en-US"/>
        </w:rPr>
        <w:t>SAD</w:t>
      </w:r>
      <w:r w:rsidR="00031164" w:rsidRPr="008D6A9F">
        <w:rPr>
          <w:noProof/>
          <w:lang w:val="en-US"/>
        </w:rPr>
        <w:t>). The s</w:t>
      </w:r>
      <w:r>
        <w:rPr>
          <w:noProof/>
          <w:lang w:val="en-US"/>
        </w:rPr>
        <w:t>chool</w:t>
      </w:r>
      <w:r w:rsidR="00031164" w:rsidRPr="008D6A9F">
        <w:rPr>
          <w:noProof/>
          <w:lang w:val="en-US"/>
        </w:rPr>
        <w:t xml:space="preserve"> level predictor variable</w:t>
      </w:r>
      <w:r>
        <w:rPr>
          <w:noProof/>
          <w:lang w:val="en-US"/>
        </w:rPr>
        <w:t xml:space="preserve">s are </w:t>
      </w:r>
      <w:r w:rsidR="00031164" w:rsidRPr="008D6A9F">
        <w:rPr>
          <w:noProof/>
          <w:lang w:val="en-US"/>
        </w:rPr>
        <w:t>school category (S</w:t>
      </w:r>
      <w:r w:rsidR="001169E4">
        <w:rPr>
          <w:noProof/>
          <w:lang w:val="en-US"/>
        </w:rPr>
        <w:t>C</w:t>
      </w:r>
      <w:r w:rsidR="00031164" w:rsidRPr="008D6A9F">
        <w:rPr>
          <w:noProof/>
          <w:lang w:val="en-US"/>
        </w:rPr>
        <w:t>), consideration of distance in the admission of new students (</w:t>
      </w:r>
      <w:r w:rsidR="001169E4">
        <w:rPr>
          <w:noProof/>
          <w:lang w:val="en-US"/>
        </w:rPr>
        <w:t>DTC</w:t>
      </w:r>
      <w:r w:rsidR="00031164" w:rsidRPr="008D6A9F">
        <w:rPr>
          <w:noProof/>
          <w:lang w:val="en-US"/>
        </w:rPr>
        <w:t>) and the school environment located (</w:t>
      </w:r>
      <w:r w:rsidR="001169E4">
        <w:rPr>
          <w:noProof/>
          <w:lang w:val="en-US"/>
        </w:rPr>
        <w:t>SL</w:t>
      </w:r>
      <w:r w:rsidR="00031164" w:rsidRPr="008D6A9F">
        <w:rPr>
          <w:noProof/>
          <w:lang w:val="en-US"/>
        </w:rPr>
        <w:t>).</w:t>
      </w:r>
      <w:r w:rsidR="0007428C">
        <w:rPr>
          <w:noProof/>
          <w:lang w:val="en-US"/>
        </w:rPr>
        <w:t xml:space="preserve"> All variables </w:t>
      </w:r>
      <w:r>
        <w:rPr>
          <w:noProof/>
          <w:lang w:val="en-US"/>
        </w:rPr>
        <w:t>are treated as continuous variables to give greater insight</w:t>
      </w:r>
      <w:r w:rsidR="00405B21">
        <w:rPr>
          <w:noProof/>
          <w:lang w:val="en-US"/>
        </w:rPr>
        <w:t>.</w:t>
      </w:r>
    </w:p>
    <w:p w14:paraId="37F705A8" w14:textId="66D6DADE" w:rsidR="00581378" w:rsidRPr="008D6A9F" w:rsidRDefault="00581378" w:rsidP="00581378">
      <w:pPr>
        <w:pStyle w:val="Section"/>
        <w:rPr>
          <w:noProof/>
          <w:lang w:val="en-US"/>
        </w:rPr>
      </w:pPr>
      <w:r w:rsidRPr="008D6A9F">
        <w:rPr>
          <w:noProof/>
          <w:lang w:val="en-US"/>
        </w:rPr>
        <w:t>Result</w:t>
      </w:r>
      <w:r w:rsidR="00D55EAD">
        <w:rPr>
          <w:noProof/>
          <w:lang w:val="en-US"/>
        </w:rPr>
        <w:t>s</w:t>
      </w:r>
    </w:p>
    <w:p w14:paraId="1AA0CC69" w14:textId="663AE86A" w:rsidR="00581378" w:rsidRDefault="00581378" w:rsidP="00581378">
      <w:pPr>
        <w:pStyle w:val="Bodytext"/>
        <w:rPr>
          <w:noProof/>
        </w:rPr>
      </w:pPr>
      <w:r w:rsidRPr="008D6A9F">
        <w:rPr>
          <w:noProof/>
        </w:rPr>
        <w:t xml:space="preserve">In this research, multilevel modeling is carried out in stages </w:t>
      </w:r>
      <w:r w:rsidRPr="008D6A9F">
        <w:rPr>
          <w:noProof/>
        </w:rPr>
        <w:fldChar w:fldCharType="begin" w:fldLock="1"/>
      </w:r>
      <w:r w:rsidR="00985095">
        <w:rPr>
          <w:noProof/>
        </w:rPr>
        <w:instrText>ADDIN CSL_CITATION {"citationItems":[{"id":"ITEM-1","itemData":{"DOI":"10.1017/CBO9781107415324.004","ISBN":"9788578110796","ISSN":"1098-6596","PMID":"25246403","author":[{"dropping-particle":"","family":"Finch","given":"W. Holmes","non-dropping-particle":"","parse-names":false,"suffix":""},{"dropping-particle":"","family":"Bolin","given":"Jocelyn E","non-dropping-particle":"","parse-names":false,"suffix":""},{"dropping-particle":"","family":"Kelley","given":"Ken","non-dropping-particle":"","parse-names":false,"suffix":""}],"edition":"2","id":"ITEM-1","issued":{"date-parts":[["2019"]]},"publisher":"CRC Press","title":"Multilevel Modeling Using R","type":"book"},"uris":["http://www.mendeley.com/documents/?uuid=ea1559da-e466-4fb3-a479-aef5f4ea1137"]}],"mendeley":{"formattedCitation":"(Finch et al., 2019)","manualFormatting":"[2]","plainTextFormattedCitation":"(Finch et al., 2019)","previouslyFormattedCitation":"(Finch et al., 2019)"},"properties":{"noteIndex":0},"schema":"https://github.com/citation-style-language/schema/raw/master/csl-citation.json"}</w:instrText>
      </w:r>
      <w:r w:rsidRPr="008D6A9F">
        <w:rPr>
          <w:noProof/>
        </w:rPr>
        <w:fldChar w:fldCharType="separate"/>
      </w:r>
      <w:r w:rsidR="00605661" w:rsidRPr="008D6A9F">
        <w:rPr>
          <w:noProof/>
        </w:rPr>
        <w:t>[</w:t>
      </w:r>
      <w:r w:rsidRPr="008D6A9F">
        <w:rPr>
          <w:noProof/>
        </w:rPr>
        <w:t>2</w:t>
      </w:r>
      <w:r w:rsidR="00605661" w:rsidRPr="008D6A9F">
        <w:rPr>
          <w:noProof/>
        </w:rPr>
        <w:t>]</w:t>
      </w:r>
      <w:r w:rsidRPr="008D6A9F">
        <w:rPr>
          <w:noProof/>
        </w:rPr>
        <w:fldChar w:fldCharType="end"/>
      </w:r>
      <w:r w:rsidRPr="008D6A9F">
        <w:rPr>
          <w:noProof/>
        </w:rPr>
        <w:t xml:space="preserve">. The results of PISA are reported </w:t>
      </w:r>
      <w:r w:rsidR="006654B3">
        <w:rPr>
          <w:noProof/>
        </w:rPr>
        <w:t>i</w:t>
      </w:r>
      <w:r w:rsidRPr="008D6A9F">
        <w:rPr>
          <w:noProof/>
        </w:rPr>
        <w:t>n a scale. The average reading, science and math</w:t>
      </w:r>
      <w:r w:rsidR="006654B3">
        <w:rPr>
          <w:noProof/>
        </w:rPr>
        <w:t>ematics</w:t>
      </w:r>
      <w:r w:rsidRPr="008D6A9F">
        <w:rPr>
          <w:noProof/>
        </w:rPr>
        <w:t xml:space="preserve"> scores are 500 with a standard deviation of 100 </w:t>
      </w:r>
      <w:r w:rsidRPr="008D6A9F">
        <w:rPr>
          <w:noProof/>
        </w:rPr>
        <w:fldChar w:fldCharType="begin" w:fldLock="1"/>
      </w:r>
      <w:r w:rsidR="00985095">
        <w:rPr>
          <w:noProof/>
        </w:rPr>
        <w:instrText>ADDIN CSL_CITATION {"citationItems":[{"id":"ITEM-1","itemData":{"DOI":"10.1017/CBO9781107415324.004","ISBN":"9788578110796","ISSN":"1098-6596","PMID":"25246403","author":[{"dropping-particle":"","family":"OECD","given":"","non-dropping-particle":"","parse-names":false,"suffix":""}],"container-title":"PISA","id":"ITEM-1","issued":{"date-parts":[["2019"]]},"publisher":"OECD Publishing","title":"PISA 2018 Assessment and Analytical Framework","type":"book"},"uris":["http://www.mendeley.com/documents/?uuid=95c4a9bf-3a2b-40c4-a829-72e1f3f91da5"]}],"mendeley":{"formattedCitation":"(OECD, 2019a)","manualFormatting":"[16]","plainTextFormattedCitation":"(OECD, 2019a)","previouslyFormattedCitation":"(OECD, 2019a)"},"properties":{"noteIndex":0},"schema":"https://github.com/citation-style-language/schema/raw/master/csl-citation.json"}</w:instrText>
      </w:r>
      <w:r w:rsidRPr="008D6A9F">
        <w:rPr>
          <w:noProof/>
        </w:rPr>
        <w:fldChar w:fldCharType="separate"/>
      </w:r>
      <w:r w:rsidR="008D6A9F" w:rsidRPr="008D6A9F">
        <w:rPr>
          <w:noProof/>
        </w:rPr>
        <w:t>[16]</w:t>
      </w:r>
      <w:r w:rsidRPr="008D6A9F">
        <w:rPr>
          <w:noProof/>
        </w:rPr>
        <w:fldChar w:fldCharType="end"/>
      </w:r>
      <w:r w:rsidRPr="008D6A9F">
        <w:rPr>
          <w:noProof/>
        </w:rPr>
        <w:t>. Mathematics scores consist</w:t>
      </w:r>
      <w:r w:rsidR="006654B3">
        <w:rPr>
          <w:noProof/>
        </w:rPr>
        <w:t xml:space="preserve"> of</w:t>
      </w:r>
      <w:r w:rsidRPr="008D6A9F">
        <w:rPr>
          <w:noProof/>
        </w:rPr>
        <w:t xml:space="preserve"> ten plausible values ​​</w:t>
      </w:r>
      <w:r w:rsidR="006654B3">
        <w:rPr>
          <w:noProof/>
        </w:rPr>
        <w:t xml:space="preserve">which </w:t>
      </w:r>
      <w:r w:rsidRPr="008D6A9F">
        <w:rPr>
          <w:noProof/>
        </w:rPr>
        <w:t xml:space="preserve">are searched for on average so that each </w:t>
      </w:r>
      <w:r w:rsidR="006654B3">
        <w:rPr>
          <w:noProof/>
        </w:rPr>
        <w:t xml:space="preserve">Indonesian </w:t>
      </w:r>
      <w:r w:rsidRPr="008D6A9F">
        <w:rPr>
          <w:noProof/>
        </w:rPr>
        <w:t xml:space="preserve">student </w:t>
      </w:r>
      <w:r w:rsidR="006654B3">
        <w:rPr>
          <w:noProof/>
        </w:rPr>
        <w:t>receives a mathematics score</w:t>
      </w:r>
      <w:r w:rsidRPr="008D6A9F">
        <w:rPr>
          <w:noProof/>
        </w:rPr>
        <w:t>.</w:t>
      </w:r>
      <w:r w:rsidR="00110A1E">
        <w:rPr>
          <w:noProof/>
        </w:rPr>
        <w:t xml:space="preserve"> </w:t>
      </w:r>
      <w:r w:rsidR="006654B3">
        <w:rPr>
          <w:noProof/>
        </w:rPr>
        <w:t>Table 1 presents d</w:t>
      </w:r>
      <w:r w:rsidR="00072A01">
        <w:rPr>
          <w:noProof/>
        </w:rPr>
        <w:t xml:space="preserve">escriptive statistics </w:t>
      </w:r>
      <w:r w:rsidR="006654B3">
        <w:rPr>
          <w:noProof/>
        </w:rPr>
        <w:t>before proceeding with the</w:t>
      </w:r>
      <w:r w:rsidR="00072A01">
        <w:rPr>
          <w:noProof/>
        </w:rPr>
        <w:t xml:space="preserve"> multilevel modeling analysis.</w:t>
      </w:r>
    </w:p>
    <w:p w14:paraId="3AB1A135" w14:textId="50871CDB" w:rsidR="00072A01" w:rsidRDefault="00CF5537" w:rsidP="00CF6DB5">
      <w:pPr>
        <w:pStyle w:val="BodytextIndented"/>
        <w:spacing w:after="240"/>
      </w:pPr>
      <w:r>
        <w:t xml:space="preserve">The average mathematics score in Indonesia is 406.75 which is actually below </w:t>
      </w:r>
      <w:r w:rsidR="006654B3">
        <w:t xml:space="preserve">the </w:t>
      </w:r>
      <w:r>
        <w:t xml:space="preserve">OECD average. </w:t>
      </w:r>
      <w:r w:rsidRPr="00C80465">
        <w:rPr>
          <w:rFonts w:ascii="Times New Roman" w:hAnsi="Times New Roman"/>
          <w:noProof/>
          <w:lang w:eastAsia="en-ID"/>
        </w:rPr>
        <w:t>Indonesian</w:t>
      </w:r>
      <w:r>
        <w:t xml:space="preserve"> student</w:t>
      </w:r>
      <w:r w:rsidR="006654B3">
        <w:t>s</w:t>
      </w:r>
      <w:r>
        <w:t xml:space="preserve"> sometimes feel the positive feelings</w:t>
      </w:r>
      <w:r w:rsidR="006654B3">
        <w:t>,</w:t>
      </w:r>
      <w:r>
        <w:t xml:space="preserve"> and rarely feel the negative feelings </w:t>
      </w:r>
      <w:r w:rsidR="006654B3">
        <w:t>o</w:t>
      </w:r>
      <w:r>
        <w:t xml:space="preserve">n average. The students have </w:t>
      </w:r>
      <w:r w:rsidR="006654B3">
        <w:t xml:space="preserve">also been </w:t>
      </w:r>
      <w:r w:rsidRPr="00CF5537">
        <w:t>moderately satisfied</w:t>
      </w:r>
      <w:r>
        <w:t xml:space="preserve"> with their li</w:t>
      </w:r>
      <w:r w:rsidR="006654B3">
        <w:t>ves</w:t>
      </w:r>
      <w:r>
        <w:t>. For school aspects, mostly are public school</w:t>
      </w:r>
      <w:r w:rsidR="006654B3">
        <w:t>s</w:t>
      </w:r>
      <w:r>
        <w:t xml:space="preserve"> in a small town which sometimes considered </w:t>
      </w:r>
      <w:r w:rsidR="006654B3">
        <w:t xml:space="preserve">the </w:t>
      </w:r>
      <w:r>
        <w:t>students’ r</w:t>
      </w:r>
      <w:r w:rsidRPr="00CF5537">
        <w:t>esidence in a particular area</w:t>
      </w:r>
      <w:r>
        <w:t>.</w:t>
      </w:r>
    </w:p>
    <w:p w14:paraId="53E01833" w14:textId="77777777" w:rsidR="00CF6DB5" w:rsidRPr="001821C5" w:rsidRDefault="00CF6DB5" w:rsidP="00CF6DB5">
      <w:pPr>
        <w:pStyle w:val="BodytextIndented"/>
        <w:ind w:firstLine="0"/>
        <w:jc w:val="center"/>
      </w:pPr>
      <w:r w:rsidRPr="00A33734">
        <w:rPr>
          <w:b/>
          <w:bCs/>
          <w:iCs w:val="0"/>
          <w:noProof/>
        </w:rPr>
        <w:lastRenderedPageBreak/>
        <w:t>Table</w:t>
      </w:r>
      <w:r>
        <w:rPr>
          <w:b/>
          <w:bCs/>
          <w:iCs w:val="0"/>
          <w:noProof/>
        </w:rPr>
        <w:t xml:space="preserve"> 1</w:t>
      </w:r>
      <w:r w:rsidRPr="008D6A9F">
        <w:rPr>
          <w:b/>
          <w:bCs/>
          <w:iCs w:val="0"/>
          <w:noProof/>
        </w:rPr>
        <w:t xml:space="preserve">. </w:t>
      </w:r>
      <w:r>
        <w:rPr>
          <w:iCs w:val="0"/>
          <w:noProof/>
        </w:rPr>
        <w:t>Descriptive Statistics</w:t>
      </w:r>
    </w:p>
    <w:tbl>
      <w:tblPr>
        <w:tblStyle w:val="KisiTabel"/>
        <w:tblW w:w="9067" w:type="dxa"/>
        <w:tblLook w:val="04A0" w:firstRow="1" w:lastRow="0" w:firstColumn="1" w:lastColumn="0" w:noHBand="0" w:noVBand="1"/>
      </w:tblPr>
      <w:tblGrid>
        <w:gridCol w:w="1812"/>
        <w:gridCol w:w="2294"/>
        <w:gridCol w:w="2410"/>
        <w:gridCol w:w="2551"/>
      </w:tblGrid>
      <w:tr w:rsidR="00CF6DB5" w:rsidRPr="001821C5" w14:paraId="075511C7" w14:textId="77777777" w:rsidTr="008B4A06">
        <w:trPr>
          <w:trHeight w:val="393"/>
        </w:trPr>
        <w:tc>
          <w:tcPr>
            <w:tcW w:w="1812" w:type="dxa"/>
            <w:tcBorders>
              <w:left w:val="nil"/>
              <w:bottom w:val="single" w:sz="4" w:space="0" w:color="auto"/>
              <w:right w:val="nil"/>
            </w:tcBorders>
          </w:tcPr>
          <w:p w14:paraId="570D3877" w14:textId="77777777" w:rsidR="00CF6DB5" w:rsidRPr="001821C5" w:rsidRDefault="00CF6DB5" w:rsidP="008B4A06">
            <w:pPr>
              <w:pStyle w:val="BodytextIndented"/>
              <w:ind w:firstLine="0"/>
              <w:jc w:val="center"/>
              <w:rPr>
                <w:b/>
                <w:bCs/>
              </w:rPr>
            </w:pPr>
            <w:r w:rsidRPr="001821C5">
              <w:rPr>
                <w:b/>
                <w:bCs/>
              </w:rPr>
              <w:t>Variables</w:t>
            </w:r>
          </w:p>
        </w:tc>
        <w:tc>
          <w:tcPr>
            <w:tcW w:w="2294" w:type="dxa"/>
            <w:tcBorders>
              <w:left w:val="nil"/>
              <w:bottom w:val="single" w:sz="4" w:space="0" w:color="auto"/>
              <w:right w:val="nil"/>
            </w:tcBorders>
          </w:tcPr>
          <w:p w14:paraId="313C0233" w14:textId="77777777" w:rsidR="00CF6DB5" w:rsidRPr="001821C5" w:rsidRDefault="00CF6DB5" w:rsidP="008B4A06">
            <w:pPr>
              <w:pStyle w:val="BodytextIndented"/>
              <w:ind w:firstLine="0"/>
              <w:jc w:val="center"/>
              <w:rPr>
                <w:b/>
                <w:bCs/>
              </w:rPr>
            </w:pPr>
            <w:r w:rsidRPr="001821C5">
              <w:rPr>
                <w:b/>
                <w:bCs/>
              </w:rPr>
              <w:t>Mean</w:t>
            </w:r>
          </w:p>
        </w:tc>
        <w:tc>
          <w:tcPr>
            <w:tcW w:w="2410" w:type="dxa"/>
            <w:tcBorders>
              <w:left w:val="nil"/>
              <w:bottom w:val="single" w:sz="4" w:space="0" w:color="auto"/>
              <w:right w:val="nil"/>
            </w:tcBorders>
          </w:tcPr>
          <w:p w14:paraId="662D379D" w14:textId="77777777" w:rsidR="00CF6DB5" w:rsidRPr="001821C5" w:rsidRDefault="00CF6DB5" w:rsidP="008B4A06">
            <w:pPr>
              <w:pStyle w:val="BodytextIndented"/>
              <w:ind w:firstLine="0"/>
              <w:jc w:val="center"/>
              <w:rPr>
                <w:b/>
                <w:bCs/>
              </w:rPr>
            </w:pPr>
            <w:r w:rsidRPr="001821C5">
              <w:rPr>
                <w:b/>
                <w:bCs/>
              </w:rPr>
              <w:t>Standar Deviation</w:t>
            </w:r>
          </w:p>
        </w:tc>
        <w:tc>
          <w:tcPr>
            <w:tcW w:w="2551" w:type="dxa"/>
            <w:tcBorders>
              <w:left w:val="nil"/>
              <w:bottom w:val="single" w:sz="4" w:space="0" w:color="auto"/>
              <w:right w:val="nil"/>
            </w:tcBorders>
          </w:tcPr>
          <w:p w14:paraId="6FBB811C" w14:textId="77777777" w:rsidR="00CF6DB5" w:rsidRPr="001821C5" w:rsidRDefault="00CF6DB5" w:rsidP="008B4A06">
            <w:pPr>
              <w:pStyle w:val="BodytextIndented"/>
              <w:ind w:firstLine="0"/>
              <w:jc w:val="center"/>
              <w:rPr>
                <w:b/>
                <w:bCs/>
              </w:rPr>
            </w:pPr>
            <w:r w:rsidRPr="001821C5">
              <w:rPr>
                <w:b/>
                <w:bCs/>
              </w:rPr>
              <w:t>Median</w:t>
            </w:r>
          </w:p>
        </w:tc>
      </w:tr>
      <w:tr w:rsidR="00CF6DB5" w14:paraId="050EE542" w14:textId="77777777" w:rsidTr="008B4A06">
        <w:tc>
          <w:tcPr>
            <w:tcW w:w="1812" w:type="dxa"/>
            <w:tcBorders>
              <w:left w:val="nil"/>
              <w:bottom w:val="nil"/>
              <w:right w:val="nil"/>
            </w:tcBorders>
          </w:tcPr>
          <w:p w14:paraId="6597A37B" w14:textId="77777777" w:rsidR="00CF6DB5" w:rsidRDefault="00CF6DB5" w:rsidP="008B4A06">
            <w:pPr>
              <w:pStyle w:val="BodytextIndented"/>
              <w:ind w:firstLine="0"/>
            </w:pPr>
            <w:r>
              <w:t>MathScore</w:t>
            </w:r>
          </w:p>
        </w:tc>
        <w:tc>
          <w:tcPr>
            <w:tcW w:w="2294" w:type="dxa"/>
            <w:tcBorders>
              <w:left w:val="nil"/>
              <w:bottom w:val="nil"/>
              <w:right w:val="nil"/>
            </w:tcBorders>
          </w:tcPr>
          <w:p w14:paraId="05679BA0" w14:textId="77777777" w:rsidR="00CF6DB5" w:rsidRDefault="00CF6DB5" w:rsidP="008B4A06">
            <w:pPr>
              <w:pStyle w:val="BodytextIndented"/>
              <w:ind w:firstLine="0"/>
              <w:jc w:val="center"/>
            </w:pPr>
            <w:r w:rsidRPr="00072A01">
              <w:t>406.75</w:t>
            </w:r>
          </w:p>
        </w:tc>
        <w:tc>
          <w:tcPr>
            <w:tcW w:w="2410" w:type="dxa"/>
            <w:tcBorders>
              <w:left w:val="nil"/>
              <w:bottom w:val="nil"/>
              <w:right w:val="nil"/>
            </w:tcBorders>
          </w:tcPr>
          <w:p w14:paraId="72C9F8DA" w14:textId="77777777" w:rsidR="00CF6DB5" w:rsidRDefault="00CF6DB5" w:rsidP="008B4A06">
            <w:pPr>
              <w:pStyle w:val="BodytextIndented"/>
              <w:ind w:firstLine="0"/>
              <w:jc w:val="center"/>
            </w:pPr>
            <w:r w:rsidRPr="00072A01">
              <w:t>78.9</w:t>
            </w:r>
          </w:p>
        </w:tc>
        <w:tc>
          <w:tcPr>
            <w:tcW w:w="2551" w:type="dxa"/>
            <w:tcBorders>
              <w:left w:val="nil"/>
              <w:bottom w:val="nil"/>
              <w:right w:val="nil"/>
            </w:tcBorders>
          </w:tcPr>
          <w:p w14:paraId="495CB815" w14:textId="77777777" w:rsidR="00CF6DB5" w:rsidRDefault="00CF6DB5" w:rsidP="008B4A06">
            <w:pPr>
              <w:pStyle w:val="BodytextIndented"/>
              <w:ind w:firstLine="0"/>
              <w:jc w:val="center"/>
            </w:pPr>
            <w:r w:rsidRPr="00301812">
              <w:t>400.92</w:t>
            </w:r>
          </w:p>
        </w:tc>
      </w:tr>
      <w:tr w:rsidR="00CF6DB5" w14:paraId="6765A5E2" w14:textId="77777777" w:rsidTr="008B4A06">
        <w:tc>
          <w:tcPr>
            <w:tcW w:w="1812" w:type="dxa"/>
            <w:tcBorders>
              <w:top w:val="nil"/>
              <w:left w:val="nil"/>
              <w:bottom w:val="nil"/>
              <w:right w:val="nil"/>
            </w:tcBorders>
          </w:tcPr>
          <w:p w14:paraId="277DD079" w14:textId="77777777" w:rsidR="00CF6DB5" w:rsidRDefault="00CF6DB5" w:rsidP="008B4A06">
            <w:pPr>
              <w:pStyle w:val="BodytextIndented"/>
              <w:ind w:firstLine="0"/>
            </w:pPr>
            <w:r>
              <w:t>HPY</w:t>
            </w:r>
          </w:p>
        </w:tc>
        <w:tc>
          <w:tcPr>
            <w:tcW w:w="2294" w:type="dxa"/>
            <w:tcBorders>
              <w:top w:val="nil"/>
              <w:left w:val="nil"/>
              <w:bottom w:val="nil"/>
              <w:right w:val="nil"/>
            </w:tcBorders>
          </w:tcPr>
          <w:p w14:paraId="20B36DFA" w14:textId="77777777" w:rsidR="00CF6DB5" w:rsidRDefault="00CF6DB5" w:rsidP="008B4A06">
            <w:pPr>
              <w:pStyle w:val="BodytextIndented"/>
              <w:ind w:firstLine="0"/>
              <w:jc w:val="center"/>
            </w:pPr>
            <w:r w:rsidRPr="00072A01">
              <w:t>3.46</w:t>
            </w:r>
          </w:p>
        </w:tc>
        <w:tc>
          <w:tcPr>
            <w:tcW w:w="2410" w:type="dxa"/>
            <w:tcBorders>
              <w:top w:val="nil"/>
              <w:left w:val="nil"/>
              <w:bottom w:val="nil"/>
              <w:right w:val="nil"/>
            </w:tcBorders>
          </w:tcPr>
          <w:p w14:paraId="1E8ED641" w14:textId="77777777" w:rsidR="00CF6DB5" w:rsidRDefault="00CF6DB5" w:rsidP="008B4A06">
            <w:pPr>
              <w:pStyle w:val="BodytextIndented"/>
              <w:ind w:firstLine="0"/>
              <w:jc w:val="center"/>
            </w:pPr>
            <w:r w:rsidRPr="00072A01">
              <w:t>0.65</w:t>
            </w:r>
          </w:p>
        </w:tc>
        <w:tc>
          <w:tcPr>
            <w:tcW w:w="2551" w:type="dxa"/>
            <w:tcBorders>
              <w:top w:val="nil"/>
              <w:left w:val="nil"/>
              <w:bottom w:val="nil"/>
              <w:right w:val="nil"/>
            </w:tcBorders>
          </w:tcPr>
          <w:p w14:paraId="68BE4B8F" w14:textId="77777777" w:rsidR="00CF6DB5" w:rsidRDefault="00CF6DB5" w:rsidP="008B4A06">
            <w:pPr>
              <w:pStyle w:val="BodytextIndented"/>
              <w:ind w:firstLine="0"/>
              <w:jc w:val="center"/>
            </w:pPr>
            <w:r>
              <w:t>4</w:t>
            </w:r>
          </w:p>
        </w:tc>
      </w:tr>
      <w:tr w:rsidR="00CF6DB5" w14:paraId="6A688C2F" w14:textId="77777777" w:rsidTr="008B4A06">
        <w:tc>
          <w:tcPr>
            <w:tcW w:w="1812" w:type="dxa"/>
            <w:tcBorders>
              <w:top w:val="nil"/>
              <w:left w:val="nil"/>
              <w:bottom w:val="nil"/>
              <w:right w:val="nil"/>
            </w:tcBorders>
          </w:tcPr>
          <w:p w14:paraId="4199AF62" w14:textId="77777777" w:rsidR="00CF6DB5" w:rsidRDefault="00CF6DB5" w:rsidP="008B4A06">
            <w:pPr>
              <w:pStyle w:val="BodytextIndented"/>
              <w:ind w:firstLine="0"/>
            </w:pPr>
            <w:r>
              <w:t>LVL</w:t>
            </w:r>
          </w:p>
        </w:tc>
        <w:tc>
          <w:tcPr>
            <w:tcW w:w="2294" w:type="dxa"/>
            <w:tcBorders>
              <w:top w:val="nil"/>
              <w:left w:val="nil"/>
              <w:bottom w:val="nil"/>
              <w:right w:val="nil"/>
            </w:tcBorders>
          </w:tcPr>
          <w:p w14:paraId="3FEA2C1A" w14:textId="77777777" w:rsidR="00CF6DB5" w:rsidRDefault="00CF6DB5" w:rsidP="008B4A06">
            <w:pPr>
              <w:pStyle w:val="BodytextIndented"/>
              <w:ind w:firstLine="0"/>
              <w:jc w:val="center"/>
            </w:pPr>
            <w:r w:rsidRPr="00072A01">
              <w:t>3.47</w:t>
            </w:r>
          </w:p>
        </w:tc>
        <w:tc>
          <w:tcPr>
            <w:tcW w:w="2410" w:type="dxa"/>
            <w:tcBorders>
              <w:top w:val="nil"/>
              <w:left w:val="nil"/>
              <w:bottom w:val="nil"/>
              <w:right w:val="nil"/>
            </w:tcBorders>
          </w:tcPr>
          <w:p w14:paraId="15AAB1B2" w14:textId="77777777" w:rsidR="00CF6DB5" w:rsidRDefault="00CF6DB5" w:rsidP="008B4A06">
            <w:pPr>
              <w:pStyle w:val="BodytextIndented"/>
              <w:ind w:firstLine="0"/>
              <w:jc w:val="center"/>
            </w:pPr>
            <w:r w:rsidRPr="00072A01">
              <w:t>0.64</w:t>
            </w:r>
          </w:p>
        </w:tc>
        <w:tc>
          <w:tcPr>
            <w:tcW w:w="2551" w:type="dxa"/>
            <w:tcBorders>
              <w:top w:val="nil"/>
              <w:left w:val="nil"/>
              <w:bottom w:val="nil"/>
              <w:right w:val="nil"/>
            </w:tcBorders>
          </w:tcPr>
          <w:p w14:paraId="506FC1BF" w14:textId="77777777" w:rsidR="00CF6DB5" w:rsidRDefault="00CF6DB5" w:rsidP="008B4A06">
            <w:pPr>
              <w:pStyle w:val="BodytextIndented"/>
              <w:ind w:firstLine="0"/>
              <w:jc w:val="center"/>
            </w:pPr>
            <w:r>
              <w:t>4</w:t>
            </w:r>
          </w:p>
        </w:tc>
      </w:tr>
      <w:tr w:rsidR="00CF6DB5" w14:paraId="1E669B50" w14:textId="77777777" w:rsidTr="008B4A06">
        <w:tc>
          <w:tcPr>
            <w:tcW w:w="1812" w:type="dxa"/>
            <w:tcBorders>
              <w:top w:val="nil"/>
              <w:left w:val="nil"/>
              <w:bottom w:val="nil"/>
              <w:right w:val="nil"/>
            </w:tcBorders>
          </w:tcPr>
          <w:p w14:paraId="47D6D212" w14:textId="77777777" w:rsidR="00CF6DB5" w:rsidRDefault="00CF6DB5" w:rsidP="008B4A06">
            <w:pPr>
              <w:pStyle w:val="BodytextIndented"/>
              <w:ind w:firstLine="0"/>
            </w:pPr>
            <w:r>
              <w:t>PRD</w:t>
            </w:r>
          </w:p>
        </w:tc>
        <w:tc>
          <w:tcPr>
            <w:tcW w:w="2294" w:type="dxa"/>
            <w:tcBorders>
              <w:top w:val="nil"/>
              <w:left w:val="nil"/>
              <w:bottom w:val="nil"/>
              <w:right w:val="nil"/>
            </w:tcBorders>
          </w:tcPr>
          <w:p w14:paraId="1745E511" w14:textId="77777777" w:rsidR="00CF6DB5" w:rsidRDefault="00CF6DB5" w:rsidP="008B4A06">
            <w:pPr>
              <w:pStyle w:val="BodytextIndented"/>
              <w:ind w:firstLine="0"/>
              <w:jc w:val="center"/>
            </w:pPr>
            <w:r w:rsidRPr="00072A01">
              <w:t>3.21</w:t>
            </w:r>
          </w:p>
        </w:tc>
        <w:tc>
          <w:tcPr>
            <w:tcW w:w="2410" w:type="dxa"/>
            <w:tcBorders>
              <w:top w:val="nil"/>
              <w:left w:val="nil"/>
              <w:bottom w:val="nil"/>
              <w:right w:val="nil"/>
            </w:tcBorders>
          </w:tcPr>
          <w:p w14:paraId="6F717F8F" w14:textId="77777777" w:rsidR="00CF6DB5" w:rsidRDefault="00CF6DB5" w:rsidP="008B4A06">
            <w:pPr>
              <w:pStyle w:val="BodytextIndented"/>
              <w:ind w:firstLine="0"/>
              <w:jc w:val="center"/>
            </w:pPr>
            <w:r w:rsidRPr="00072A01">
              <w:t>0.68</w:t>
            </w:r>
          </w:p>
        </w:tc>
        <w:tc>
          <w:tcPr>
            <w:tcW w:w="2551" w:type="dxa"/>
            <w:tcBorders>
              <w:top w:val="nil"/>
              <w:left w:val="nil"/>
              <w:bottom w:val="nil"/>
              <w:right w:val="nil"/>
            </w:tcBorders>
          </w:tcPr>
          <w:p w14:paraId="70378E9A" w14:textId="77777777" w:rsidR="00CF6DB5" w:rsidRDefault="00CF6DB5" w:rsidP="008B4A06">
            <w:pPr>
              <w:pStyle w:val="BodytextIndented"/>
              <w:ind w:firstLine="0"/>
              <w:jc w:val="center"/>
            </w:pPr>
            <w:r>
              <w:t>3</w:t>
            </w:r>
          </w:p>
        </w:tc>
      </w:tr>
      <w:tr w:rsidR="00CF6DB5" w14:paraId="3AB87A14" w14:textId="77777777" w:rsidTr="008B4A06">
        <w:tc>
          <w:tcPr>
            <w:tcW w:w="1812" w:type="dxa"/>
            <w:tcBorders>
              <w:top w:val="nil"/>
              <w:left w:val="nil"/>
              <w:bottom w:val="nil"/>
              <w:right w:val="nil"/>
            </w:tcBorders>
          </w:tcPr>
          <w:p w14:paraId="61611F28" w14:textId="77777777" w:rsidR="00CF6DB5" w:rsidRDefault="00CF6DB5" w:rsidP="008B4A06">
            <w:pPr>
              <w:pStyle w:val="BodytextIndented"/>
              <w:ind w:firstLine="0"/>
            </w:pPr>
            <w:r>
              <w:t>JOY</w:t>
            </w:r>
          </w:p>
        </w:tc>
        <w:tc>
          <w:tcPr>
            <w:tcW w:w="2294" w:type="dxa"/>
            <w:tcBorders>
              <w:top w:val="nil"/>
              <w:left w:val="nil"/>
              <w:bottom w:val="nil"/>
              <w:right w:val="nil"/>
            </w:tcBorders>
          </w:tcPr>
          <w:p w14:paraId="65F52C3A" w14:textId="77777777" w:rsidR="00CF6DB5" w:rsidRDefault="00CF6DB5" w:rsidP="008B4A06">
            <w:pPr>
              <w:pStyle w:val="BodytextIndented"/>
              <w:ind w:firstLine="0"/>
              <w:jc w:val="center"/>
            </w:pPr>
            <w:r w:rsidRPr="00072A01">
              <w:t>3.49</w:t>
            </w:r>
          </w:p>
        </w:tc>
        <w:tc>
          <w:tcPr>
            <w:tcW w:w="2410" w:type="dxa"/>
            <w:tcBorders>
              <w:top w:val="nil"/>
              <w:left w:val="nil"/>
              <w:bottom w:val="nil"/>
              <w:right w:val="nil"/>
            </w:tcBorders>
          </w:tcPr>
          <w:p w14:paraId="09AEA017" w14:textId="77777777" w:rsidR="00CF6DB5" w:rsidRDefault="00CF6DB5" w:rsidP="008B4A06">
            <w:pPr>
              <w:pStyle w:val="BodytextIndented"/>
              <w:ind w:firstLine="0"/>
              <w:jc w:val="center"/>
            </w:pPr>
            <w:r w:rsidRPr="00072A01">
              <w:t>0.63</w:t>
            </w:r>
          </w:p>
        </w:tc>
        <w:tc>
          <w:tcPr>
            <w:tcW w:w="2551" w:type="dxa"/>
            <w:tcBorders>
              <w:top w:val="nil"/>
              <w:left w:val="nil"/>
              <w:bottom w:val="nil"/>
              <w:right w:val="nil"/>
            </w:tcBorders>
          </w:tcPr>
          <w:p w14:paraId="0B403EDE" w14:textId="77777777" w:rsidR="00CF6DB5" w:rsidRDefault="00CF6DB5" w:rsidP="008B4A06">
            <w:pPr>
              <w:pStyle w:val="BodytextIndented"/>
              <w:ind w:firstLine="0"/>
              <w:jc w:val="center"/>
            </w:pPr>
            <w:r>
              <w:t>4</w:t>
            </w:r>
          </w:p>
        </w:tc>
      </w:tr>
      <w:tr w:rsidR="00CF6DB5" w14:paraId="4AF61BAE" w14:textId="77777777" w:rsidTr="008B4A06">
        <w:tc>
          <w:tcPr>
            <w:tcW w:w="1812" w:type="dxa"/>
            <w:tcBorders>
              <w:top w:val="nil"/>
              <w:left w:val="nil"/>
              <w:bottom w:val="nil"/>
              <w:right w:val="nil"/>
            </w:tcBorders>
          </w:tcPr>
          <w:p w14:paraId="52302A48" w14:textId="77777777" w:rsidR="00CF6DB5" w:rsidRDefault="00CF6DB5" w:rsidP="008B4A06">
            <w:pPr>
              <w:pStyle w:val="BodytextIndented"/>
              <w:ind w:firstLine="0"/>
            </w:pPr>
            <w:r>
              <w:t>CRF</w:t>
            </w:r>
          </w:p>
        </w:tc>
        <w:tc>
          <w:tcPr>
            <w:tcW w:w="2294" w:type="dxa"/>
            <w:tcBorders>
              <w:top w:val="nil"/>
              <w:left w:val="nil"/>
              <w:bottom w:val="nil"/>
              <w:right w:val="nil"/>
            </w:tcBorders>
          </w:tcPr>
          <w:p w14:paraId="1CD2DDE8" w14:textId="77777777" w:rsidR="00CF6DB5" w:rsidRDefault="00CF6DB5" w:rsidP="008B4A06">
            <w:pPr>
              <w:pStyle w:val="BodytextIndented"/>
              <w:ind w:firstLine="0"/>
              <w:jc w:val="center"/>
            </w:pPr>
            <w:r w:rsidRPr="00301812">
              <w:t>3.53</w:t>
            </w:r>
          </w:p>
        </w:tc>
        <w:tc>
          <w:tcPr>
            <w:tcW w:w="2410" w:type="dxa"/>
            <w:tcBorders>
              <w:top w:val="nil"/>
              <w:left w:val="nil"/>
              <w:bottom w:val="nil"/>
              <w:right w:val="nil"/>
            </w:tcBorders>
          </w:tcPr>
          <w:p w14:paraId="6097C746" w14:textId="77777777" w:rsidR="00CF6DB5" w:rsidRDefault="00CF6DB5" w:rsidP="008B4A06">
            <w:pPr>
              <w:pStyle w:val="BodytextIndented"/>
              <w:ind w:firstLine="0"/>
              <w:jc w:val="center"/>
            </w:pPr>
            <w:r w:rsidRPr="00301812">
              <w:t>0.63</w:t>
            </w:r>
          </w:p>
        </w:tc>
        <w:tc>
          <w:tcPr>
            <w:tcW w:w="2551" w:type="dxa"/>
            <w:tcBorders>
              <w:top w:val="nil"/>
              <w:left w:val="nil"/>
              <w:bottom w:val="nil"/>
              <w:right w:val="nil"/>
            </w:tcBorders>
          </w:tcPr>
          <w:p w14:paraId="39C4B8E6" w14:textId="77777777" w:rsidR="00CF6DB5" w:rsidRDefault="00CF6DB5" w:rsidP="008B4A06">
            <w:pPr>
              <w:pStyle w:val="BodytextIndented"/>
              <w:ind w:firstLine="0"/>
              <w:jc w:val="center"/>
            </w:pPr>
            <w:r>
              <w:t>4</w:t>
            </w:r>
          </w:p>
        </w:tc>
      </w:tr>
      <w:tr w:rsidR="00CF6DB5" w14:paraId="10357F81" w14:textId="77777777" w:rsidTr="008B4A06">
        <w:tc>
          <w:tcPr>
            <w:tcW w:w="1812" w:type="dxa"/>
            <w:tcBorders>
              <w:top w:val="nil"/>
              <w:left w:val="nil"/>
              <w:bottom w:val="nil"/>
              <w:right w:val="nil"/>
            </w:tcBorders>
          </w:tcPr>
          <w:p w14:paraId="5E90D107" w14:textId="77777777" w:rsidR="00CF6DB5" w:rsidRDefault="00CF6DB5" w:rsidP="008B4A06">
            <w:pPr>
              <w:pStyle w:val="BodytextIndented"/>
              <w:ind w:firstLine="0"/>
            </w:pPr>
            <w:r>
              <w:t>LS</w:t>
            </w:r>
          </w:p>
        </w:tc>
        <w:tc>
          <w:tcPr>
            <w:tcW w:w="2294" w:type="dxa"/>
            <w:tcBorders>
              <w:top w:val="nil"/>
              <w:left w:val="nil"/>
              <w:bottom w:val="nil"/>
              <w:right w:val="nil"/>
            </w:tcBorders>
          </w:tcPr>
          <w:p w14:paraId="74AFEC2E" w14:textId="77777777" w:rsidR="00CF6DB5" w:rsidRDefault="00CF6DB5" w:rsidP="008B4A06">
            <w:pPr>
              <w:pStyle w:val="BodytextIndented"/>
              <w:ind w:firstLine="0"/>
              <w:jc w:val="center"/>
            </w:pPr>
            <w:r w:rsidRPr="00301812">
              <w:t>7.37</w:t>
            </w:r>
          </w:p>
        </w:tc>
        <w:tc>
          <w:tcPr>
            <w:tcW w:w="2410" w:type="dxa"/>
            <w:tcBorders>
              <w:top w:val="nil"/>
              <w:left w:val="nil"/>
              <w:bottom w:val="nil"/>
              <w:right w:val="nil"/>
            </w:tcBorders>
          </w:tcPr>
          <w:p w14:paraId="1C049D78" w14:textId="77777777" w:rsidR="00CF6DB5" w:rsidRDefault="00CF6DB5" w:rsidP="008B4A06">
            <w:pPr>
              <w:pStyle w:val="BodytextIndented"/>
              <w:ind w:firstLine="0"/>
              <w:jc w:val="center"/>
            </w:pPr>
            <w:r w:rsidRPr="00301812">
              <w:t>2.42</w:t>
            </w:r>
          </w:p>
        </w:tc>
        <w:tc>
          <w:tcPr>
            <w:tcW w:w="2551" w:type="dxa"/>
            <w:tcBorders>
              <w:top w:val="nil"/>
              <w:left w:val="nil"/>
              <w:bottom w:val="nil"/>
              <w:right w:val="nil"/>
            </w:tcBorders>
          </w:tcPr>
          <w:p w14:paraId="7819C8B3" w14:textId="77777777" w:rsidR="00CF6DB5" w:rsidRDefault="00CF6DB5" w:rsidP="008B4A06">
            <w:pPr>
              <w:pStyle w:val="BodytextIndented"/>
              <w:ind w:firstLine="0"/>
              <w:jc w:val="center"/>
            </w:pPr>
            <w:r>
              <w:t>8</w:t>
            </w:r>
          </w:p>
        </w:tc>
      </w:tr>
      <w:tr w:rsidR="00CF6DB5" w14:paraId="5DCA1813" w14:textId="77777777" w:rsidTr="008B4A06">
        <w:tc>
          <w:tcPr>
            <w:tcW w:w="1812" w:type="dxa"/>
            <w:tcBorders>
              <w:top w:val="nil"/>
              <w:left w:val="nil"/>
              <w:bottom w:val="nil"/>
              <w:right w:val="nil"/>
            </w:tcBorders>
          </w:tcPr>
          <w:p w14:paraId="6F6930BB" w14:textId="77777777" w:rsidR="00CF6DB5" w:rsidRDefault="00CF6DB5" w:rsidP="008B4A06">
            <w:pPr>
              <w:pStyle w:val="BodytextIndented"/>
              <w:ind w:firstLine="0"/>
            </w:pPr>
            <w:r>
              <w:t>SCR</w:t>
            </w:r>
          </w:p>
        </w:tc>
        <w:tc>
          <w:tcPr>
            <w:tcW w:w="2294" w:type="dxa"/>
            <w:tcBorders>
              <w:top w:val="nil"/>
              <w:left w:val="nil"/>
              <w:bottom w:val="nil"/>
              <w:right w:val="nil"/>
            </w:tcBorders>
          </w:tcPr>
          <w:p w14:paraId="317F70F8" w14:textId="77777777" w:rsidR="00CF6DB5" w:rsidRDefault="00CF6DB5" w:rsidP="008B4A06">
            <w:pPr>
              <w:pStyle w:val="BodytextIndented"/>
              <w:ind w:firstLine="0"/>
              <w:jc w:val="center"/>
            </w:pPr>
            <w:r w:rsidRPr="00301812">
              <w:t>2.68</w:t>
            </w:r>
          </w:p>
        </w:tc>
        <w:tc>
          <w:tcPr>
            <w:tcW w:w="2410" w:type="dxa"/>
            <w:tcBorders>
              <w:top w:val="nil"/>
              <w:left w:val="nil"/>
              <w:bottom w:val="nil"/>
              <w:right w:val="nil"/>
            </w:tcBorders>
          </w:tcPr>
          <w:p w14:paraId="011D9777" w14:textId="77777777" w:rsidR="00CF6DB5" w:rsidRDefault="00CF6DB5" w:rsidP="008B4A06">
            <w:pPr>
              <w:pStyle w:val="BodytextIndented"/>
              <w:ind w:firstLine="0"/>
              <w:jc w:val="center"/>
            </w:pPr>
            <w:r w:rsidRPr="00301812">
              <w:t>0.65</w:t>
            </w:r>
          </w:p>
        </w:tc>
        <w:tc>
          <w:tcPr>
            <w:tcW w:w="2551" w:type="dxa"/>
            <w:tcBorders>
              <w:top w:val="nil"/>
              <w:left w:val="nil"/>
              <w:bottom w:val="nil"/>
              <w:right w:val="nil"/>
            </w:tcBorders>
          </w:tcPr>
          <w:p w14:paraId="67485AA3" w14:textId="77777777" w:rsidR="00CF6DB5" w:rsidRDefault="00CF6DB5" w:rsidP="008B4A06">
            <w:pPr>
              <w:pStyle w:val="BodytextIndented"/>
              <w:ind w:firstLine="0"/>
              <w:jc w:val="center"/>
            </w:pPr>
            <w:r>
              <w:t>3</w:t>
            </w:r>
          </w:p>
        </w:tc>
      </w:tr>
      <w:tr w:rsidR="00CF6DB5" w14:paraId="6542B9B0" w14:textId="77777777" w:rsidTr="008B4A06">
        <w:tc>
          <w:tcPr>
            <w:tcW w:w="1812" w:type="dxa"/>
            <w:tcBorders>
              <w:top w:val="nil"/>
              <w:left w:val="nil"/>
              <w:bottom w:val="nil"/>
              <w:right w:val="nil"/>
            </w:tcBorders>
          </w:tcPr>
          <w:p w14:paraId="2D0A75AF" w14:textId="77777777" w:rsidR="00CF6DB5" w:rsidRDefault="00CF6DB5" w:rsidP="008B4A06">
            <w:pPr>
              <w:pStyle w:val="BodytextIndented"/>
              <w:ind w:firstLine="0"/>
            </w:pPr>
            <w:r>
              <w:t>MSR</w:t>
            </w:r>
          </w:p>
        </w:tc>
        <w:tc>
          <w:tcPr>
            <w:tcW w:w="2294" w:type="dxa"/>
            <w:tcBorders>
              <w:top w:val="nil"/>
              <w:left w:val="nil"/>
              <w:bottom w:val="nil"/>
              <w:right w:val="nil"/>
            </w:tcBorders>
          </w:tcPr>
          <w:p w14:paraId="055179D1" w14:textId="77777777" w:rsidR="00CF6DB5" w:rsidRDefault="00CF6DB5" w:rsidP="008B4A06">
            <w:pPr>
              <w:pStyle w:val="BodytextIndented"/>
              <w:ind w:firstLine="0"/>
              <w:jc w:val="center"/>
            </w:pPr>
            <w:r w:rsidRPr="00301812">
              <w:t>1.95</w:t>
            </w:r>
          </w:p>
        </w:tc>
        <w:tc>
          <w:tcPr>
            <w:tcW w:w="2410" w:type="dxa"/>
            <w:tcBorders>
              <w:top w:val="nil"/>
              <w:left w:val="nil"/>
              <w:bottom w:val="nil"/>
              <w:right w:val="nil"/>
            </w:tcBorders>
          </w:tcPr>
          <w:p w14:paraId="21BB0618" w14:textId="77777777" w:rsidR="00CF6DB5" w:rsidRDefault="00CF6DB5" w:rsidP="008B4A06">
            <w:pPr>
              <w:pStyle w:val="BodytextIndented"/>
              <w:ind w:firstLine="0"/>
              <w:jc w:val="center"/>
            </w:pPr>
            <w:r w:rsidRPr="00301812">
              <w:t>0.83</w:t>
            </w:r>
          </w:p>
        </w:tc>
        <w:tc>
          <w:tcPr>
            <w:tcW w:w="2551" w:type="dxa"/>
            <w:tcBorders>
              <w:top w:val="nil"/>
              <w:left w:val="nil"/>
              <w:bottom w:val="nil"/>
              <w:right w:val="nil"/>
            </w:tcBorders>
          </w:tcPr>
          <w:p w14:paraId="1EE57EEB" w14:textId="77777777" w:rsidR="00CF6DB5" w:rsidRDefault="00CF6DB5" w:rsidP="008B4A06">
            <w:pPr>
              <w:pStyle w:val="BodytextIndented"/>
              <w:ind w:firstLine="0"/>
              <w:jc w:val="center"/>
            </w:pPr>
            <w:r>
              <w:t>2</w:t>
            </w:r>
          </w:p>
        </w:tc>
      </w:tr>
      <w:tr w:rsidR="00CF6DB5" w14:paraId="4199E0DC" w14:textId="77777777" w:rsidTr="008B4A06">
        <w:tc>
          <w:tcPr>
            <w:tcW w:w="1812" w:type="dxa"/>
            <w:tcBorders>
              <w:top w:val="nil"/>
              <w:left w:val="nil"/>
              <w:bottom w:val="nil"/>
              <w:right w:val="nil"/>
            </w:tcBorders>
          </w:tcPr>
          <w:p w14:paraId="4BDA773E" w14:textId="77777777" w:rsidR="00CF6DB5" w:rsidRDefault="00CF6DB5" w:rsidP="008B4A06">
            <w:pPr>
              <w:pStyle w:val="BodytextIndented"/>
              <w:ind w:firstLine="0"/>
            </w:pPr>
            <w:r>
              <w:t>AFR</w:t>
            </w:r>
          </w:p>
        </w:tc>
        <w:tc>
          <w:tcPr>
            <w:tcW w:w="2294" w:type="dxa"/>
            <w:tcBorders>
              <w:top w:val="nil"/>
              <w:left w:val="nil"/>
              <w:bottom w:val="nil"/>
              <w:right w:val="nil"/>
            </w:tcBorders>
          </w:tcPr>
          <w:p w14:paraId="171D6B5B" w14:textId="77777777" w:rsidR="00CF6DB5" w:rsidRDefault="00CF6DB5" w:rsidP="008B4A06">
            <w:pPr>
              <w:pStyle w:val="BodytextIndented"/>
              <w:ind w:firstLine="0"/>
              <w:jc w:val="center"/>
            </w:pPr>
            <w:r w:rsidRPr="00301812">
              <w:t>2.69</w:t>
            </w:r>
          </w:p>
        </w:tc>
        <w:tc>
          <w:tcPr>
            <w:tcW w:w="2410" w:type="dxa"/>
            <w:tcBorders>
              <w:top w:val="nil"/>
              <w:left w:val="nil"/>
              <w:bottom w:val="nil"/>
              <w:right w:val="nil"/>
            </w:tcBorders>
          </w:tcPr>
          <w:p w14:paraId="5EAC2FC3" w14:textId="77777777" w:rsidR="00CF6DB5" w:rsidRDefault="00CF6DB5" w:rsidP="008B4A06">
            <w:pPr>
              <w:pStyle w:val="BodytextIndented"/>
              <w:ind w:firstLine="0"/>
              <w:jc w:val="center"/>
            </w:pPr>
            <w:r w:rsidRPr="00301812">
              <w:t>0.68</w:t>
            </w:r>
          </w:p>
        </w:tc>
        <w:tc>
          <w:tcPr>
            <w:tcW w:w="2551" w:type="dxa"/>
            <w:tcBorders>
              <w:top w:val="nil"/>
              <w:left w:val="nil"/>
              <w:bottom w:val="nil"/>
              <w:right w:val="nil"/>
            </w:tcBorders>
          </w:tcPr>
          <w:p w14:paraId="0EB14467" w14:textId="77777777" w:rsidR="00CF6DB5" w:rsidRDefault="00CF6DB5" w:rsidP="008B4A06">
            <w:pPr>
              <w:pStyle w:val="BodytextIndented"/>
              <w:ind w:firstLine="0"/>
              <w:jc w:val="center"/>
            </w:pPr>
            <w:r>
              <w:t>3</w:t>
            </w:r>
          </w:p>
        </w:tc>
      </w:tr>
      <w:tr w:rsidR="00CF6DB5" w14:paraId="645ED590" w14:textId="77777777" w:rsidTr="008B4A06">
        <w:tc>
          <w:tcPr>
            <w:tcW w:w="1812" w:type="dxa"/>
            <w:tcBorders>
              <w:top w:val="nil"/>
              <w:left w:val="nil"/>
              <w:bottom w:val="nil"/>
              <w:right w:val="nil"/>
            </w:tcBorders>
          </w:tcPr>
          <w:p w14:paraId="47542FAA" w14:textId="77777777" w:rsidR="00CF6DB5" w:rsidRDefault="00CF6DB5" w:rsidP="008B4A06">
            <w:pPr>
              <w:pStyle w:val="BodytextIndented"/>
              <w:ind w:firstLine="0"/>
            </w:pPr>
            <w:r>
              <w:t>SAD</w:t>
            </w:r>
          </w:p>
        </w:tc>
        <w:tc>
          <w:tcPr>
            <w:tcW w:w="2294" w:type="dxa"/>
            <w:tcBorders>
              <w:top w:val="nil"/>
              <w:left w:val="nil"/>
              <w:bottom w:val="nil"/>
              <w:right w:val="nil"/>
            </w:tcBorders>
          </w:tcPr>
          <w:p w14:paraId="03B55B23" w14:textId="77777777" w:rsidR="00CF6DB5" w:rsidRDefault="00CF6DB5" w:rsidP="008B4A06">
            <w:pPr>
              <w:pStyle w:val="BodytextIndented"/>
              <w:ind w:firstLine="0"/>
              <w:jc w:val="center"/>
            </w:pPr>
            <w:r w:rsidRPr="00301812">
              <w:t>2.57</w:t>
            </w:r>
          </w:p>
        </w:tc>
        <w:tc>
          <w:tcPr>
            <w:tcW w:w="2410" w:type="dxa"/>
            <w:tcBorders>
              <w:top w:val="nil"/>
              <w:left w:val="nil"/>
              <w:bottom w:val="nil"/>
              <w:right w:val="nil"/>
            </w:tcBorders>
          </w:tcPr>
          <w:p w14:paraId="5F76010A" w14:textId="77777777" w:rsidR="00CF6DB5" w:rsidRDefault="00CF6DB5" w:rsidP="008B4A06">
            <w:pPr>
              <w:pStyle w:val="BodytextIndented"/>
              <w:ind w:firstLine="0"/>
              <w:jc w:val="center"/>
            </w:pPr>
            <w:r w:rsidRPr="00301812">
              <w:t>0.68</w:t>
            </w:r>
          </w:p>
        </w:tc>
        <w:tc>
          <w:tcPr>
            <w:tcW w:w="2551" w:type="dxa"/>
            <w:tcBorders>
              <w:top w:val="nil"/>
              <w:left w:val="nil"/>
              <w:bottom w:val="nil"/>
              <w:right w:val="nil"/>
            </w:tcBorders>
          </w:tcPr>
          <w:p w14:paraId="4D12C6BB" w14:textId="77777777" w:rsidR="00CF6DB5" w:rsidRDefault="00CF6DB5" w:rsidP="008B4A06">
            <w:pPr>
              <w:pStyle w:val="BodytextIndented"/>
              <w:ind w:firstLine="0"/>
              <w:jc w:val="center"/>
            </w:pPr>
            <w:r>
              <w:t>3</w:t>
            </w:r>
          </w:p>
        </w:tc>
      </w:tr>
      <w:tr w:rsidR="00CF6DB5" w14:paraId="745D0B94" w14:textId="77777777" w:rsidTr="008B4A06">
        <w:tc>
          <w:tcPr>
            <w:tcW w:w="1812" w:type="dxa"/>
            <w:tcBorders>
              <w:top w:val="nil"/>
              <w:left w:val="nil"/>
              <w:bottom w:val="nil"/>
              <w:right w:val="nil"/>
            </w:tcBorders>
          </w:tcPr>
          <w:p w14:paraId="2533E927" w14:textId="77777777" w:rsidR="00CF6DB5" w:rsidRDefault="00CF6DB5" w:rsidP="008B4A06">
            <w:pPr>
              <w:pStyle w:val="BodytextIndented"/>
              <w:ind w:firstLine="0"/>
            </w:pPr>
            <w:r>
              <w:t>SC</w:t>
            </w:r>
          </w:p>
        </w:tc>
        <w:tc>
          <w:tcPr>
            <w:tcW w:w="2294" w:type="dxa"/>
            <w:tcBorders>
              <w:top w:val="nil"/>
              <w:left w:val="nil"/>
              <w:bottom w:val="nil"/>
              <w:right w:val="nil"/>
            </w:tcBorders>
          </w:tcPr>
          <w:p w14:paraId="53844FF6" w14:textId="77777777" w:rsidR="00CF6DB5" w:rsidRDefault="00CF6DB5" w:rsidP="008B4A06">
            <w:pPr>
              <w:pStyle w:val="BodytextIndented"/>
              <w:ind w:firstLine="0"/>
              <w:jc w:val="center"/>
            </w:pPr>
            <w:r w:rsidRPr="00301812">
              <w:t>0.71</w:t>
            </w:r>
          </w:p>
        </w:tc>
        <w:tc>
          <w:tcPr>
            <w:tcW w:w="2410" w:type="dxa"/>
            <w:tcBorders>
              <w:top w:val="nil"/>
              <w:left w:val="nil"/>
              <w:bottom w:val="nil"/>
              <w:right w:val="nil"/>
            </w:tcBorders>
          </w:tcPr>
          <w:p w14:paraId="15FC858F" w14:textId="77777777" w:rsidR="00CF6DB5" w:rsidRDefault="00CF6DB5" w:rsidP="008B4A06">
            <w:pPr>
              <w:pStyle w:val="BodytextIndented"/>
              <w:ind w:firstLine="0"/>
              <w:jc w:val="center"/>
            </w:pPr>
            <w:r w:rsidRPr="00301812">
              <w:t>0.45</w:t>
            </w:r>
          </w:p>
        </w:tc>
        <w:tc>
          <w:tcPr>
            <w:tcW w:w="2551" w:type="dxa"/>
            <w:tcBorders>
              <w:top w:val="nil"/>
              <w:left w:val="nil"/>
              <w:bottom w:val="nil"/>
              <w:right w:val="nil"/>
            </w:tcBorders>
          </w:tcPr>
          <w:p w14:paraId="139C75BA" w14:textId="77777777" w:rsidR="00CF6DB5" w:rsidRDefault="00CF6DB5" w:rsidP="008B4A06">
            <w:pPr>
              <w:pStyle w:val="BodytextIndented"/>
              <w:ind w:firstLine="0"/>
              <w:jc w:val="center"/>
            </w:pPr>
            <w:r>
              <w:t>1</w:t>
            </w:r>
          </w:p>
        </w:tc>
      </w:tr>
      <w:tr w:rsidR="00CF6DB5" w14:paraId="2C911BF7" w14:textId="77777777" w:rsidTr="008B4A06">
        <w:tc>
          <w:tcPr>
            <w:tcW w:w="1812" w:type="dxa"/>
            <w:tcBorders>
              <w:top w:val="nil"/>
              <w:left w:val="nil"/>
              <w:bottom w:val="nil"/>
              <w:right w:val="nil"/>
            </w:tcBorders>
          </w:tcPr>
          <w:p w14:paraId="309210A5" w14:textId="77777777" w:rsidR="00CF6DB5" w:rsidRDefault="00CF6DB5" w:rsidP="008B4A06">
            <w:pPr>
              <w:pStyle w:val="BodytextIndented"/>
              <w:ind w:firstLine="0"/>
            </w:pPr>
            <w:r>
              <w:t>DTC</w:t>
            </w:r>
          </w:p>
        </w:tc>
        <w:tc>
          <w:tcPr>
            <w:tcW w:w="2294" w:type="dxa"/>
            <w:tcBorders>
              <w:top w:val="nil"/>
              <w:left w:val="nil"/>
              <w:bottom w:val="nil"/>
              <w:right w:val="nil"/>
            </w:tcBorders>
          </w:tcPr>
          <w:p w14:paraId="6E9568B9" w14:textId="77777777" w:rsidR="00CF6DB5" w:rsidRDefault="00CF6DB5" w:rsidP="008B4A06">
            <w:pPr>
              <w:pStyle w:val="BodytextIndented"/>
              <w:ind w:firstLine="0"/>
              <w:jc w:val="center"/>
            </w:pPr>
            <w:r w:rsidRPr="00301812">
              <w:t>2.42</w:t>
            </w:r>
          </w:p>
        </w:tc>
        <w:tc>
          <w:tcPr>
            <w:tcW w:w="2410" w:type="dxa"/>
            <w:tcBorders>
              <w:top w:val="nil"/>
              <w:left w:val="nil"/>
              <w:bottom w:val="nil"/>
              <w:right w:val="nil"/>
            </w:tcBorders>
          </w:tcPr>
          <w:p w14:paraId="74DF78CA" w14:textId="77777777" w:rsidR="00CF6DB5" w:rsidRDefault="00CF6DB5" w:rsidP="008B4A06">
            <w:pPr>
              <w:pStyle w:val="BodytextIndented"/>
              <w:ind w:firstLine="0"/>
              <w:jc w:val="center"/>
            </w:pPr>
            <w:r w:rsidRPr="00301812">
              <w:t>0.73</w:t>
            </w:r>
          </w:p>
        </w:tc>
        <w:tc>
          <w:tcPr>
            <w:tcW w:w="2551" w:type="dxa"/>
            <w:tcBorders>
              <w:top w:val="nil"/>
              <w:left w:val="nil"/>
              <w:bottom w:val="nil"/>
              <w:right w:val="nil"/>
            </w:tcBorders>
          </w:tcPr>
          <w:p w14:paraId="3C29D9B0" w14:textId="77777777" w:rsidR="00CF6DB5" w:rsidRDefault="00CF6DB5" w:rsidP="008B4A06">
            <w:pPr>
              <w:pStyle w:val="BodytextIndented"/>
              <w:ind w:firstLine="0"/>
              <w:jc w:val="center"/>
            </w:pPr>
            <w:r>
              <w:t>3</w:t>
            </w:r>
          </w:p>
        </w:tc>
      </w:tr>
      <w:tr w:rsidR="00CF6DB5" w14:paraId="7F10C6C4" w14:textId="77777777" w:rsidTr="008B4A06">
        <w:tc>
          <w:tcPr>
            <w:tcW w:w="1812" w:type="dxa"/>
            <w:tcBorders>
              <w:top w:val="nil"/>
              <w:left w:val="nil"/>
              <w:right w:val="nil"/>
            </w:tcBorders>
          </w:tcPr>
          <w:p w14:paraId="55EAA334" w14:textId="77777777" w:rsidR="00CF6DB5" w:rsidRDefault="00CF6DB5" w:rsidP="008B4A06">
            <w:pPr>
              <w:pStyle w:val="BodytextIndented"/>
              <w:ind w:firstLine="0"/>
            </w:pPr>
            <w:r>
              <w:t>SL</w:t>
            </w:r>
          </w:p>
        </w:tc>
        <w:tc>
          <w:tcPr>
            <w:tcW w:w="2294" w:type="dxa"/>
            <w:tcBorders>
              <w:top w:val="nil"/>
              <w:left w:val="nil"/>
              <w:right w:val="nil"/>
            </w:tcBorders>
          </w:tcPr>
          <w:p w14:paraId="2583DEE1" w14:textId="77777777" w:rsidR="00CF6DB5" w:rsidRDefault="00CF6DB5" w:rsidP="008B4A06">
            <w:pPr>
              <w:pStyle w:val="BodytextIndented"/>
              <w:ind w:firstLine="0"/>
              <w:jc w:val="center"/>
            </w:pPr>
            <w:r w:rsidRPr="00301812">
              <w:t>2.78</w:t>
            </w:r>
          </w:p>
        </w:tc>
        <w:tc>
          <w:tcPr>
            <w:tcW w:w="2410" w:type="dxa"/>
            <w:tcBorders>
              <w:top w:val="nil"/>
              <w:left w:val="nil"/>
              <w:right w:val="nil"/>
            </w:tcBorders>
          </w:tcPr>
          <w:p w14:paraId="4F0A212C" w14:textId="77777777" w:rsidR="00CF6DB5" w:rsidRDefault="00CF6DB5" w:rsidP="008B4A06">
            <w:pPr>
              <w:pStyle w:val="BodytextIndented"/>
              <w:ind w:firstLine="0"/>
              <w:jc w:val="center"/>
            </w:pPr>
            <w:r w:rsidRPr="00301812">
              <w:t>1.19</w:t>
            </w:r>
          </w:p>
        </w:tc>
        <w:tc>
          <w:tcPr>
            <w:tcW w:w="2551" w:type="dxa"/>
            <w:tcBorders>
              <w:top w:val="nil"/>
              <w:left w:val="nil"/>
              <w:right w:val="nil"/>
            </w:tcBorders>
          </w:tcPr>
          <w:p w14:paraId="52A7811B" w14:textId="77777777" w:rsidR="00CF6DB5" w:rsidRDefault="00CF6DB5" w:rsidP="008B4A06">
            <w:pPr>
              <w:pStyle w:val="BodytextIndented"/>
              <w:ind w:firstLine="0"/>
              <w:jc w:val="center"/>
            </w:pPr>
            <w:r>
              <w:t>3</w:t>
            </w:r>
          </w:p>
        </w:tc>
      </w:tr>
    </w:tbl>
    <w:p w14:paraId="25CE8B79" w14:textId="57712A87" w:rsidR="00A33734" w:rsidRPr="008D6A9F" w:rsidRDefault="00A33734" w:rsidP="00A33734">
      <w:pPr>
        <w:pStyle w:val="Judul2"/>
        <w:rPr>
          <w:noProof/>
          <w:lang w:val="en-US"/>
        </w:rPr>
      </w:pPr>
      <w:r w:rsidRPr="008D6A9F">
        <w:rPr>
          <w:noProof/>
          <w:lang w:val="en-US"/>
        </w:rPr>
        <w:t>Step 1: Model Without Predictors (Null Model)</w:t>
      </w:r>
    </w:p>
    <w:p w14:paraId="7FC964B0" w14:textId="3E4CB2C4" w:rsidR="00A33734" w:rsidRPr="008D6A9F" w:rsidRDefault="00A33734" w:rsidP="003A22A0">
      <w:pPr>
        <w:spacing w:after="240"/>
        <w:jc w:val="both"/>
        <w:rPr>
          <w:noProof/>
          <w:lang w:val="en-US"/>
        </w:rPr>
      </w:pPr>
      <w:r w:rsidRPr="008D6A9F">
        <w:rPr>
          <w:noProof/>
          <w:lang w:val="en-US"/>
        </w:rPr>
        <w:t>The result of the model without th</w:t>
      </w:r>
      <w:r w:rsidR="006654B3">
        <w:rPr>
          <w:noProof/>
          <w:lang w:val="en-US"/>
        </w:rPr>
        <w:t>e</w:t>
      </w:r>
      <w:r w:rsidRPr="008D6A9F">
        <w:rPr>
          <w:noProof/>
          <w:lang w:val="en-US"/>
        </w:rPr>
        <w:t xml:space="preserve"> predictor</w:t>
      </w:r>
      <w:r w:rsidR="006654B3">
        <w:rPr>
          <w:noProof/>
          <w:lang w:val="en-US"/>
        </w:rPr>
        <w:t>s</w:t>
      </w:r>
      <w:r w:rsidRPr="008D6A9F">
        <w:rPr>
          <w:noProof/>
          <w:lang w:val="en-US"/>
        </w:rPr>
        <w:t xml:space="preserve"> is </w:t>
      </w:r>
      <w:r w:rsidR="006654B3">
        <w:rPr>
          <w:noProof/>
          <w:lang w:val="en-US"/>
        </w:rPr>
        <w:t xml:space="preserve">in </w:t>
      </w:r>
      <w:r w:rsidRPr="008D6A9F">
        <w:rPr>
          <w:noProof/>
          <w:lang w:val="en-US"/>
        </w:rPr>
        <w:t>equation (1) where the values ​​in parentheses are the standard error. From this model</w:t>
      </w:r>
      <w:r w:rsidR="006654B3">
        <w:rPr>
          <w:noProof/>
          <w:lang w:val="en-US"/>
        </w:rPr>
        <w:t>,</w:t>
      </w:r>
      <w:r w:rsidRPr="008D6A9F">
        <w:rPr>
          <w:noProof/>
          <w:lang w:val="en-US"/>
        </w:rPr>
        <w:t xml:space="preserve"> it is obtained that the average student's math score is 395.236. The </w:t>
      </w:r>
      <w:r w:rsidR="006654B3">
        <w:rPr>
          <w:noProof/>
          <w:lang w:val="en-US"/>
        </w:rPr>
        <w:t xml:space="preserve">estimated </w:t>
      </w:r>
      <w:r w:rsidRPr="008D6A9F">
        <w:rPr>
          <w:noProof/>
          <w:lang w:val="en-US"/>
        </w:rPr>
        <w:t>variance between schools</w:t>
      </w:r>
      <w:r w:rsidR="006654B3">
        <w:rPr>
          <w:noProof/>
          <w:lang w:val="en-US"/>
        </w:rPr>
        <w:t xml:space="preserve"> </w:t>
      </w:r>
      <w:r w:rsidRPr="008D6A9F">
        <w:rPr>
          <w:noProof/>
          <w:lang w:val="en-US"/>
        </w:rPr>
        <w:t>is 3</w:t>
      </w:r>
      <w:r w:rsidR="00C22568">
        <w:rPr>
          <w:noProof/>
          <w:lang w:val="en-US"/>
        </w:rPr>
        <w:t>,</w:t>
      </w:r>
      <w:r w:rsidRPr="008D6A9F">
        <w:rPr>
          <w:noProof/>
          <w:lang w:val="en-US"/>
        </w:rPr>
        <w:t xml:space="preserve">599 and </w:t>
      </w:r>
      <w:r w:rsidR="006654B3">
        <w:rPr>
          <w:noProof/>
          <w:lang w:val="en-US"/>
        </w:rPr>
        <w:t>with</w:t>
      </w:r>
      <w:r w:rsidRPr="008D6A9F">
        <w:rPr>
          <w:noProof/>
          <w:lang w:val="en-US"/>
        </w:rPr>
        <w:t>in schools is 2</w:t>
      </w:r>
      <w:r w:rsidR="00C22568">
        <w:rPr>
          <w:noProof/>
          <w:lang w:val="en-US"/>
        </w:rPr>
        <w:t>,</w:t>
      </w:r>
      <w:r w:rsidRPr="008D6A9F">
        <w:rPr>
          <w:noProof/>
          <w:lang w:val="en-US"/>
        </w:rPr>
        <w:t>585.</w:t>
      </w:r>
      <w:r w:rsidR="00C22568">
        <w:rPr>
          <w:noProof/>
          <w:lang w:val="en-US"/>
        </w:rPr>
        <w:t xml:space="preserve"> The equation for the estimated empty model is given as follows.</w:t>
      </w:r>
    </w:p>
    <w:p w14:paraId="6C28BBEE" w14:textId="6F581534" w:rsidR="00A33734" w:rsidRDefault="00C86B57" w:rsidP="00C22568">
      <w:pPr>
        <w:rPr>
          <w:rFonts w:ascii="Times New Roman" w:hAnsi="Times New Roman"/>
          <w:noProof/>
          <w:szCs w:val="22"/>
          <w:lang w:val="en-US" w:eastAsia="en-ID"/>
        </w:rPr>
      </w:pPr>
      <m:oMath>
        <m:sSub>
          <m:sSubPr>
            <m:ctrlPr>
              <w:rPr>
                <w:rFonts w:ascii="Cambria Math" w:hAnsi="Cambria Math"/>
                <w:i/>
                <w:noProof/>
                <w:szCs w:val="22"/>
                <w:lang w:val="en-US" w:eastAsia="en-ID"/>
              </w:rPr>
            </m:ctrlPr>
          </m:sSubPr>
          <m:e>
            <m:acc>
              <m:accPr>
                <m:ctrlPr>
                  <w:rPr>
                    <w:rFonts w:ascii="Cambria Math" w:hAnsi="Cambria Math"/>
                    <w:i/>
                    <w:noProof/>
                    <w:szCs w:val="22"/>
                    <w:lang w:val="en-US" w:eastAsia="en-ID"/>
                  </w:rPr>
                </m:ctrlPr>
              </m:accPr>
              <m:e>
                <m:r>
                  <w:rPr>
                    <w:rFonts w:ascii="Cambria Math" w:hAnsi="Cambria Math"/>
                    <w:noProof/>
                    <w:szCs w:val="22"/>
                    <w:lang w:val="en-US" w:eastAsia="en-ID"/>
                  </w:rPr>
                  <m:t>MathScore</m:t>
                </m:r>
              </m:e>
            </m:acc>
          </m:e>
          <m:sub>
            <m:r>
              <w:rPr>
                <w:rFonts w:ascii="Cambria Math" w:hAnsi="Cambria Math"/>
                <w:noProof/>
                <w:szCs w:val="22"/>
                <w:lang w:val="en-US" w:eastAsia="en-ID"/>
              </w:rPr>
              <m:t>ij</m:t>
            </m:r>
          </m:sub>
        </m:sSub>
        <m:r>
          <w:rPr>
            <w:rFonts w:ascii="Cambria Math" w:hAnsi="Cambria Math"/>
            <w:noProof/>
            <w:szCs w:val="22"/>
            <w:lang w:val="en-US" w:eastAsia="en-ID"/>
          </w:rPr>
          <m:t>=</m:t>
        </m:r>
        <m:r>
          <m:rPr>
            <m:sty m:val="p"/>
          </m:rPr>
          <w:rPr>
            <w:rFonts w:ascii="Cambria Math" w:hAnsi="Cambria Math"/>
            <w:noProof/>
            <w:color w:val="000000"/>
            <w:szCs w:val="22"/>
            <w:lang w:val="en-US" w:eastAsia="en-ID"/>
          </w:rPr>
          <m:t>395.236</m:t>
        </m:r>
        <m:r>
          <w:rPr>
            <w:rFonts w:ascii="Cambria Math" w:hAnsi="Cambria Math"/>
            <w:noProof/>
            <w:szCs w:val="22"/>
            <w:lang w:val="en-US" w:eastAsia="en-ID"/>
          </w:rPr>
          <m:t>(3.351)</m:t>
        </m:r>
      </m:oMath>
      <w:r w:rsidR="00A33734" w:rsidRPr="003A22A0">
        <w:rPr>
          <w:rFonts w:ascii="Times New Roman" w:hAnsi="Times New Roman"/>
          <w:noProof/>
          <w:szCs w:val="22"/>
          <w:lang w:val="en-US" w:eastAsia="en-ID"/>
        </w:rPr>
        <w:tab/>
      </w:r>
      <w:r w:rsidR="00A33734" w:rsidRPr="003A22A0">
        <w:rPr>
          <w:rFonts w:ascii="Times New Roman" w:hAnsi="Times New Roman"/>
          <w:noProof/>
          <w:szCs w:val="22"/>
          <w:lang w:val="en-US" w:eastAsia="en-ID"/>
        </w:rPr>
        <w:tab/>
      </w:r>
      <w:r w:rsidR="003A22A0">
        <w:rPr>
          <w:rFonts w:ascii="Times New Roman" w:hAnsi="Times New Roman"/>
          <w:noProof/>
          <w:szCs w:val="22"/>
          <w:lang w:val="en-US" w:eastAsia="en-ID"/>
        </w:rPr>
        <w:tab/>
      </w:r>
      <w:r w:rsidR="003A22A0">
        <w:rPr>
          <w:rFonts w:ascii="Times New Roman" w:hAnsi="Times New Roman"/>
          <w:noProof/>
          <w:szCs w:val="22"/>
          <w:lang w:val="en-US" w:eastAsia="en-ID"/>
        </w:rPr>
        <w:tab/>
      </w:r>
      <w:r w:rsidR="00A33734" w:rsidRPr="003A22A0">
        <w:rPr>
          <w:rFonts w:ascii="Times New Roman" w:hAnsi="Times New Roman"/>
          <w:noProof/>
          <w:szCs w:val="22"/>
          <w:lang w:val="en-US" w:eastAsia="en-ID"/>
        </w:rPr>
        <w:tab/>
      </w:r>
      <w:r w:rsidR="00C22568">
        <w:rPr>
          <w:rFonts w:ascii="Times New Roman" w:hAnsi="Times New Roman"/>
          <w:noProof/>
          <w:szCs w:val="22"/>
          <w:lang w:val="en-US" w:eastAsia="en-ID"/>
        </w:rPr>
        <w:tab/>
      </w:r>
      <w:r w:rsidR="00C22568">
        <w:rPr>
          <w:rFonts w:ascii="Times New Roman" w:hAnsi="Times New Roman"/>
          <w:noProof/>
          <w:szCs w:val="22"/>
          <w:lang w:val="en-US" w:eastAsia="en-ID"/>
        </w:rPr>
        <w:tab/>
      </w:r>
      <w:r w:rsidR="00A33734" w:rsidRPr="003A22A0">
        <w:rPr>
          <w:rFonts w:ascii="Times New Roman" w:hAnsi="Times New Roman"/>
          <w:noProof/>
          <w:szCs w:val="22"/>
          <w:lang w:val="en-US" w:eastAsia="en-ID"/>
        </w:rPr>
        <w:t>(1)</w:t>
      </w:r>
    </w:p>
    <w:p w14:paraId="6647115A" w14:textId="77777777" w:rsidR="00C22568" w:rsidRDefault="00C22568" w:rsidP="00C22568">
      <w:pPr>
        <w:rPr>
          <w:rFonts w:ascii="Times New Roman" w:hAnsi="Times New Roman"/>
          <w:noProof/>
          <w:szCs w:val="22"/>
          <w:lang w:val="en-US" w:eastAsia="en-ID"/>
        </w:rPr>
      </w:pPr>
    </w:p>
    <w:p w14:paraId="481A2F22" w14:textId="49C8AB96" w:rsidR="00C22568" w:rsidRPr="003A22A0" w:rsidRDefault="00C22568" w:rsidP="00C22568">
      <w:pPr>
        <w:rPr>
          <w:rFonts w:ascii="Times New Roman" w:hAnsi="Times New Roman"/>
          <w:noProof/>
          <w:szCs w:val="22"/>
          <w:lang w:val="en-US" w:eastAsia="en-ID"/>
        </w:rPr>
      </w:pPr>
      <w:r>
        <w:rPr>
          <w:rFonts w:ascii="Times New Roman" w:hAnsi="Times New Roman"/>
          <w:noProof/>
          <w:szCs w:val="22"/>
          <w:lang w:val="en-US" w:eastAsia="en-ID"/>
        </w:rPr>
        <w:t>where the paranthesial value indicates the standard error of the corresponding estimate.</w:t>
      </w:r>
    </w:p>
    <w:p w14:paraId="0291DF07" w14:textId="23075843" w:rsidR="00A33734" w:rsidRPr="008D6A9F" w:rsidRDefault="00C22568" w:rsidP="00C22568">
      <w:pPr>
        <w:pStyle w:val="BodytextIndented"/>
        <w:rPr>
          <w:rFonts w:ascii="Times New Roman" w:hAnsi="Times New Roman"/>
          <w:noProof/>
          <w:lang w:eastAsia="en-ID"/>
        </w:rPr>
      </w:pPr>
      <w:r>
        <w:rPr>
          <w:rFonts w:ascii="Times New Roman" w:hAnsi="Times New Roman"/>
          <w:noProof/>
          <w:lang w:eastAsia="en-ID"/>
        </w:rPr>
        <w:t xml:space="preserve">In order to responds to the need for </w:t>
      </w:r>
      <w:r w:rsidR="00A33734" w:rsidRPr="008D6A9F">
        <w:rPr>
          <w:rFonts w:ascii="Times New Roman" w:hAnsi="Times New Roman"/>
          <w:noProof/>
          <w:lang w:eastAsia="en-ID"/>
        </w:rPr>
        <w:t xml:space="preserve">multilevel modeling existing data, </w:t>
      </w:r>
      <w:r>
        <w:rPr>
          <w:rFonts w:ascii="Times New Roman" w:hAnsi="Times New Roman"/>
          <w:noProof/>
          <w:lang w:eastAsia="en-ID"/>
        </w:rPr>
        <w:t>the intraclass correlation (</w:t>
      </w:r>
      <w:r w:rsidR="00A33734" w:rsidRPr="008D6A9F">
        <w:rPr>
          <w:rFonts w:ascii="Times New Roman" w:hAnsi="Times New Roman"/>
          <w:noProof/>
          <w:lang w:eastAsia="en-ID"/>
        </w:rPr>
        <w:t>ICC) and design effect</w:t>
      </w:r>
      <w:r>
        <w:rPr>
          <w:rFonts w:ascii="Times New Roman" w:hAnsi="Times New Roman"/>
          <w:noProof/>
          <w:lang w:eastAsia="en-ID"/>
        </w:rPr>
        <w:t xml:space="preserve"> (DE</w:t>
      </w:r>
      <w:r w:rsidR="00A33734" w:rsidRPr="008D6A9F">
        <w:rPr>
          <w:rFonts w:ascii="Times New Roman" w:hAnsi="Times New Roman"/>
          <w:noProof/>
          <w:lang w:eastAsia="en-ID"/>
        </w:rPr>
        <w:t xml:space="preserve">) values ​​are </w:t>
      </w:r>
      <w:r>
        <w:rPr>
          <w:rFonts w:ascii="Times New Roman" w:hAnsi="Times New Roman"/>
          <w:noProof/>
          <w:lang w:eastAsia="en-ID"/>
        </w:rPr>
        <w:t>required</w:t>
      </w:r>
      <w:r w:rsidR="00A33734" w:rsidRPr="008D6A9F">
        <w:rPr>
          <w:rFonts w:ascii="Times New Roman" w:hAnsi="Times New Roman"/>
          <w:noProof/>
          <w:lang w:eastAsia="en-ID"/>
        </w:rPr>
        <w:t xml:space="preserve"> </w:t>
      </w:r>
      <w:r w:rsidR="00A33734" w:rsidRPr="008D6A9F">
        <w:rPr>
          <w:rFonts w:ascii="Times New Roman" w:hAnsi="Times New Roman"/>
          <w:i/>
          <w:iCs w:val="0"/>
          <w:noProof/>
          <w:lang w:eastAsia="en-ID"/>
        </w:rPr>
        <w:fldChar w:fldCharType="begin" w:fldLock="1"/>
      </w:r>
      <w:r w:rsidR="00985095">
        <w:rPr>
          <w:rFonts w:ascii="Times New Roman" w:hAnsi="Times New Roman"/>
          <w:i/>
          <w:noProof/>
          <w:lang w:eastAsia="en-ID"/>
        </w:rPr>
        <w:instrText>ADDIN CSL_CITATION {"citationItems":[{"id":"ITEM-1","itemData":{"DOI":"10.1016/j.jsp.2009.09.002","ISSN":"00224405","abstract":"Collecting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modeling","type":"article-journal","volume":"48"},"uris":["http://www.mendeley.com/documents/?uuid=57ac1f22-bb51-4da2-978b-a713e75a9183"]}],"mendeley":{"formattedCitation":"(Peugh, 2010)","manualFormatting":"[20]","plainTextFormattedCitation":"(Peugh, 2010)","previouslyFormattedCitation":"(Peugh, 2010)"},"properties":{"noteIndex":0},"schema":"https://github.com/citation-style-language/schema/raw/master/csl-citation.json"}</w:instrText>
      </w:r>
      <w:r w:rsidR="00A33734" w:rsidRPr="008D6A9F">
        <w:rPr>
          <w:rFonts w:ascii="Times New Roman" w:hAnsi="Times New Roman"/>
          <w:i/>
          <w:iCs w:val="0"/>
          <w:noProof/>
          <w:lang w:eastAsia="en-ID"/>
        </w:rPr>
        <w:fldChar w:fldCharType="separate"/>
      </w:r>
      <w:r w:rsidR="00536146" w:rsidRPr="008D6A9F">
        <w:rPr>
          <w:rFonts w:ascii="Times New Roman" w:hAnsi="Times New Roman"/>
          <w:noProof/>
          <w:lang w:eastAsia="en-ID"/>
        </w:rPr>
        <w:t>[</w:t>
      </w:r>
      <w:r w:rsidR="00A33734" w:rsidRPr="008D6A9F">
        <w:rPr>
          <w:rFonts w:ascii="Times New Roman" w:hAnsi="Times New Roman"/>
          <w:noProof/>
          <w:lang w:eastAsia="en-ID"/>
        </w:rPr>
        <w:t>2</w:t>
      </w:r>
      <w:r w:rsidR="00985095">
        <w:rPr>
          <w:rFonts w:ascii="Times New Roman" w:hAnsi="Times New Roman"/>
          <w:noProof/>
          <w:lang w:eastAsia="en-ID"/>
        </w:rPr>
        <w:t>1</w:t>
      </w:r>
      <w:r w:rsidR="00536146" w:rsidRPr="008D6A9F">
        <w:rPr>
          <w:rFonts w:ascii="Times New Roman" w:hAnsi="Times New Roman"/>
          <w:noProof/>
          <w:lang w:eastAsia="en-ID"/>
        </w:rPr>
        <w:t>]</w:t>
      </w:r>
      <w:r w:rsidR="00A33734" w:rsidRPr="008D6A9F">
        <w:rPr>
          <w:rFonts w:ascii="Times New Roman" w:hAnsi="Times New Roman"/>
          <w:i/>
          <w:iCs w:val="0"/>
          <w:noProof/>
          <w:lang w:eastAsia="en-ID"/>
        </w:rPr>
        <w:fldChar w:fldCharType="end"/>
      </w:r>
      <w:r w:rsidR="00A33734" w:rsidRPr="008D6A9F">
        <w:rPr>
          <w:rFonts w:ascii="Times New Roman" w:hAnsi="Times New Roman"/>
          <w:noProof/>
          <w:lang w:eastAsia="en-ID"/>
        </w:rPr>
        <w:t>.</w:t>
      </w:r>
    </w:p>
    <w:p w14:paraId="3125BFDF" w14:textId="4E902517" w:rsidR="00A33734" w:rsidRPr="00A33734" w:rsidRDefault="00A33734" w:rsidP="00A33734">
      <w:pPr>
        <w:pStyle w:val="BodytextIndented"/>
        <w:rPr>
          <w:rFonts w:ascii="Times New Roman" w:hAnsi="Times New Roman"/>
          <w:i/>
          <w:noProof/>
        </w:rPr>
      </w:pPr>
      <m:oMathPara>
        <m:oMath>
          <m:r>
            <w:rPr>
              <w:rFonts w:ascii="Cambria Math" w:hAnsi="Cambria Math"/>
              <w:noProof/>
            </w:rPr>
            <m:t>ICC=</m:t>
          </m:r>
          <m:f>
            <m:fPr>
              <m:ctrlPr>
                <w:rPr>
                  <w:rFonts w:ascii="Cambria Math" w:hAnsi="Cambria Math"/>
                  <w:i/>
                  <w:noProof/>
                </w:rPr>
              </m:ctrlPr>
            </m:fPr>
            <m:num>
              <m:r>
                <m:rPr>
                  <m:sty m:val="p"/>
                </m:rPr>
                <w:rPr>
                  <w:rFonts w:ascii="Cambria Math" w:hAnsi="Cambria Math"/>
                  <w:noProof/>
                </w:rPr>
                <m:t xml:space="preserve">3,599 </m:t>
              </m:r>
            </m:num>
            <m:den>
              <m:r>
                <m:rPr>
                  <m:sty m:val="p"/>
                </m:rPr>
                <w:rPr>
                  <w:rFonts w:ascii="Cambria Math" w:hAnsi="Cambria Math"/>
                  <w:noProof/>
                </w:rPr>
                <m:t>3,599 +2,585</m:t>
              </m:r>
            </m:den>
          </m:f>
          <m:r>
            <w:rPr>
              <w:rFonts w:ascii="Cambria Math" w:hAnsi="Cambria Math"/>
              <w:noProof/>
            </w:rPr>
            <m:t>=0.582</m:t>
          </m:r>
        </m:oMath>
      </m:oMathPara>
    </w:p>
    <w:p w14:paraId="7EAC60CF" w14:textId="1FB47DFC" w:rsidR="00A33734" w:rsidRPr="00A33734" w:rsidRDefault="00A33734" w:rsidP="003A22A0">
      <w:pPr>
        <w:pStyle w:val="BodytextIndented"/>
        <w:spacing w:after="240"/>
        <w:rPr>
          <w:rFonts w:ascii="Times New Roman" w:hAnsi="Times New Roman"/>
          <w:i/>
          <w:noProof/>
        </w:rPr>
      </w:pPr>
      <m:oMathPara>
        <m:oMath>
          <m:r>
            <w:rPr>
              <w:rFonts w:ascii="Cambria Math" w:hAnsi="Cambria Math"/>
              <w:noProof/>
            </w:rPr>
            <m:t>DE=1+</m:t>
          </m:r>
          <m:d>
            <m:dPr>
              <m:begChr m:val="["/>
              <m:endChr m:val="]"/>
              <m:ctrlPr>
                <w:rPr>
                  <w:rFonts w:ascii="Cambria Math" w:hAnsi="Cambria Math"/>
                  <w:i/>
                  <w:noProof/>
                </w:rPr>
              </m:ctrlPr>
            </m:dPr>
            <m:e>
              <m:d>
                <m:dPr>
                  <m:ctrlPr>
                    <w:rPr>
                      <w:rFonts w:ascii="Cambria Math" w:hAnsi="Cambria Math"/>
                      <w:i/>
                      <w:noProof/>
                    </w:rPr>
                  </m:ctrlPr>
                </m:dPr>
                <m:e>
                  <m:f>
                    <m:fPr>
                      <m:ctrlPr>
                        <w:rPr>
                          <w:rFonts w:ascii="Cambria Math" w:hAnsi="Cambria Math"/>
                          <w:i/>
                          <w:noProof/>
                        </w:rPr>
                      </m:ctrlPr>
                    </m:fPr>
                    <m:num>
                      <m:r>
                        <w:rPr>
                          <w:rFonts w:ascii="Cambria Math" w:hAnsi="Cambria Math"/>
                          <w:noProof/>
                        </w:rPr>
                        <m:t>9,262</m:t>
                      </m:r>
                    </m:num>
                    <m:den>
                      <m:r>
                        <m:rPr>
                          <m:sty m:val="p"/>
                        </m:rPr>
                        <w:rPr>
                          <w:rFonts w:ascii="Cambria Math" w:hAnsi="Cambria Math"/>
                          <w:noProof/>
                        </w:rPr>
                        <m:t>334</m:t>
                      </m:r>
                    </m:den>
                  </m:f>
                  <m:r>
                    <w:rPr>
                      <w:rFonts w:ascii="Cambria Math" w:hAnsi="Cambria Math"/>
                      <w:noProof/>
                    </w:rPr>
                    <m:t>-1</m:t>
                  </m:r>
                </m:e>
              </m:d>
              <m:r>
                <w:rPr>
                  <w:rFonts w:ascii="Cambria Math" w:hAnsi="Cambria Math"/>
                  <w:noProof/>
                </w:rPr>
                <m:t>×ICC</m:t>
              </m:r>
            </m:e>
          </m:d>
          <m:r>
            <w:rPr>
              <w:rFonts w:ascii="Cambria Math" w:hAnsi="Cambria Math"/>
              <w:noProof/>
            </w:rPr>
            <m:t>=16.557</m:t>
          </m:r>
        </m:oMath>
      </m:oMathPara>
    </w:p>
    <w:p w14:paraId="2C0F9B6A" w14:textId="3C797A9E" w:rsidR="00A33734" w:rsidRDefault="00C22568" w:rsidP="00F77D5B">
      <w:pPr>
        <w:jc w:val="both"/>
        <w:rPr>
          <w:iCs/>
          <w:noProof/>
          <w:lang w:val="en-US"/>
        </w:rPr>
      </w:pPr>
      <w:r>
        <w:rPr>
          <w:iCs/>
          <w:noProof/>
          <w:lang w:val="en-US"/>
        </w:rPr>
        <w:t xml:space="preserve">The </w:t>
      </w:r>
      <w:r w:rsidR="00A33734" w:rsidRPr="008D6A9F">
        <w:rPr>
          <w:iCs/>
          <w:noProof/>
          <w:lang w:val="en-US"/>
        </w:rPr>
        <w:t>ICC value of 0.582 can be interpreted that 58.2% of the variance is explained by differences in schools and by 41.8% is explained by differences in students at the school level. The minimum ICC requirement is around 0.05 to 0.2, sufficient to use multilevel models</w:t>
      </w:r>
      <w:r w:rsidR="004545EE">
        <w:rPr>
          <w:iCs/>
          <w:noProof/>
          <w:lang w:val="en-US"/>
        </w:rPr>
        <w:t xml:space="preserve"> </w:t>
      </w:r>
      <w:r w:rsidR="004545EE" w:rsidRPr="008D6A9F">
        <w:rPr>
          <w:rFonts w:ascii="Times New Roman" w:hAnsi="Times New Roman"/>
          <w:i/>
          <w:iCs/>
          <w:noProof/>
          <w:lang w:eastAsia="en-ID"/>
        </w:rPr>
        <w:fldChar w:fldCharType="begin" w:fldLock="1"/>
      </w:r>
      <w:r w:rsidR="00985095">
        <w:rPr>
          <w:rFonts w:ascii="Times New Roman" w:hAnsi="Times New Roman"/>
          <w:i/>
          <w:noProof/>
          <w:lang w:eastAsia="en-ID"/>
        </w:rPr>
        <w:instrText>ADDIN CSL_CITATION {"citationItems":[{"id":"ITEM-1","itemData":{"DOI":"10.1016/j.jsp.2009.09.002","ISSN":"00224405","abstract":"Collecting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modeling","type":"article-journal","volume":"48"},"uris":["http://www.mendeley.com/documents/?uuid=57ac1f22-bb51-4da2-978b-a713e75a9183"]}],"mendeley":{"formattedCitation":"(Peugh, 2010)","manualFormatting":"[20]","plainTextFormattedCitation":"(Peugh, 2010)","previouslyFormattedCitation":"(Peugh, 2010)"},"properties":{"noteIndex":0},"schema":"https://github.com/citation-style-language/schema/raw/master/csl-citation.json"}</w:instrText>
      </w:r>
      <w:r w:rsidR="004545EE" w:rsidRPr="008D6A9F">
        <w:rPr>
          <w:rFonts w:ascii="Times New Roman" w:hAnsi="Times New Roman"/>
          <w:i/>
          <w:iCs/>
          <w:noProof/>
          <w:lang w:eastAsia="en-ID"/>
        </w:rPr>
        <w:fldChar w:fldCharType="separate"/>
      </w:r>
      <w:r w:rsidR="004545EE" w:rsidRPr="008D6A9F">
        <w:rPr>
          <w:rFonts w:ascii="Times New Roman" w:hAnsi="Times New Roman"/>
          <w:noProof/>
          <w:lang w:eastAsia="en-ID"/>
        </w:rPr>
        <w:t>[20]</w:t>
      </w:r>
      <w:r w:rsidR="004545EE" w:rsidRPr="008D6A9F">
        <w:rPr>
          <w:rFonts w:ascii="Times New Roman" w:hAnsi="Times New Roman"/>
          <w:i/>
          <w:iCs/>
          <w:noProof/>
          <w:lang w:eastAsia="en-ID"/>
        </w:rPr>
        <w:fldChar w:fldCharType="end"/>
      </w:r>
      <w:r w:rsidR="00A33734" w:rsidRPr="008D6A9F">
        <w:rPr>
          <w:iCs/>
          <w:noProof/>
          <w:lang w:val="en-US"/>
        </w:rPr>
        <w:t xml:space="preserve">. </w:t>
      </w:r>
      <w:r>
        <w:rPr>
          <w:iCs/>
          <w:noProof/>
          <w:lang w:val="en-US"/>
        </w:rPr>
        <w:t>T</w:t>
      </w:r>
      <w:r w:rsidR="00A33734" w:rsidRPr="008D6A9F">
        <w:rPr>
          <w:iCs/>
          <w:noProof/>
          <w:lang w:val="en-US"/>
        </w:rPr>
        <w:t xml:space="preserve">he ICC value of 0.582 </w:t>
      </w:r>
      <w:r>
        <w:rPr>
          <w:iCs/>
          <w:noProof/>
          <w:lang w:val="en-US"/>
        </w:rPr>
        <w:t xml:space="preserve">thus </w:t>
      </w:r>
      <w:r w:rsidR="00A33734" w:rsidRPr="008D6A9F">
        <w:rPr>
          <w:iCs/>
          <w:noProof/>
          <w:lang w:val="en-US"/>
        </w:rPr>
        <w:t xml:space="preserve">states that data </w:t>
      </w:r>
      <w:r>
        <w:rPr>
          <w:iCs/>
          <w:noProof/>
          <w:lang w:val="en-US"/>
        </w:rPr>
        <w:t>should</w:t>
      </w:r>
      <w:r w:rsidR="00A33734" w:rsidRPr="008D6A9F">
        <w:rPr>
          <w:iCs/>
          <w:noProof/>
          <w:lang w:val="en-US"/>
        </w:rPr>
        <w:t xml:space="preserve"> be analyzed using multilevel modeling. Then the size of  DE greater than 2.0 indicates the need for multilevel modeling analysis</w:t>
      </w:r>
      <w:r w:rsidR="004545EE">
        <w:rPr>
          <w:iCs/>
          <w:noProof/>
          <w:lang w:val="en-US"/>
        </w:rPr>
        <w:t xml:space="preserve"> </w:t>
      </w:r>
      <w:r w:rsidR="004545EE" w:rsidRPr="008D6A9F">
        <w:rPr>
          <w:rFonts w:ascii="Times New Roman" w:hAnsi="Times New Roman"/>
          <w:i/>
          <w:iCs/>
          <w:noProof/>
          <w:lang w:eastAsia="en-ID"/>
        </w:rPr>
        <w:fldChar w:fldCharType="begin" w:fldLock="1"/>
      </w:r>
      <w:r w:rsidR="00985095">
        <w:rPr>
          <w:rFonts w:ascii="Times New Roman" w:hAnsi="Times New Roman"/>
          <w:i/>
          <w:noProof/>
          <w:lang w:eastAsia="en-ID"/>
        </w:rPr>
        <w:instrText>ADDIN CSL_CITATION {"citationItems":[{"id":"ITEM-1","itemData":{"DOI":"10.1016/j.jsp.2009.09.002","ISSN":"00224405","abstract":"Collecting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modeling","type":"article-journal","volume":"48"},"uris":["http://www.mendeley.com/documents/?uuid=57ac1f22-bb51-4da2-978b-a713e75a9183"]}],"mendeley":{"formattedCitation":"(Peugh, 2010)","manualFormatting":"[20]","plainTextFormattedCitation":"(Peugh, 2010)","previouslyFormattedCitation":"(Peugh, 2010)"},"properties":{"noteIndex":0},"schema":"https://github.com/citation-style-language/schema/raw/master/csl-citation.json"}</w:instrText>
      </w:r>
      <w:r w:rsidR="004545EE" w:rsidRPr="008D6A9F">
        <w:rPr>
          <w:rFonts w:ascii="Times New Roman" w:hAnsi="Times New Roman"/>
          <w:i/>
          <w:iCs/>
          <w:noProof/>
          <w:lang w:eastAsia="en-ID"/>
        </w:rPr>
        <w:fldChar w:fldCharType="separate"/>
      </w:r>
      <w:r w:rsidR="004545EE" w:rsidRPr="008D6A9F">
        <w:rPr>
          <w:rFonts w:ascii="Times New Roman" w:hAnsi="Times New Roman"/>
          <w:noProof/>
          <w:lang w:eastAsia="en-ID"/>
        </w:rPr>
        <w:t>[20]</w:t>
      </w:r>
      <w:r w:rsidR="004545EE" w:rsidRPr="008D6A9F">
        <w:rPr>
          <w:rFonts w:ascii="Times New Roman" w:hAnsi="Times New Roman"/>
          <w:i/>
          <w:iCs/>
          <w:noProof/>
          <w:lang w:eastAsia="en-ID"/>
        </w:rPr>
        <w:fldChar w:fldCharType="end"/>
      </w:r>
      <w:r w:rsidR="00A33734" w:rsidRPr="008D6A9F">
        <w:rPr>
          <w:iCs/>
          <w:noProof/>
          <w:lang w:val="en-US"/>
        </w:rPr>
        <w:t xml:space="preserve">. </w:t>
      </w:r>
      <w:r>
        <w:rPr>
          <w:iCs/>
          <w:noProof/>
          <w:lang w:val="en-US"/>
        </w:rPr>
        <w:t>The DE</w:t>
      </w:r>
      <w:r w:rsidR="00A33734" w:rsidRPr="008D6A9F">
        <w:rPr>
          <w:iCs/>
          <w:noProof/>
          <w:lang w:val="en-US"/>
        </w:rPr>
        <w:t xml:space="preserve"> value of 16.557</w:t>
      </w:r>
      <w:r>
        <w:rPr>
          <w:iCs/>
          <w:noProof/>
          <w:lang w:val="en-US"/>
        </w:rPr>
        <w:t xml:space="preserve"> represents for the data to be analyzed using </w:t>
      </w:r>
      <w:r w:rsidR="00A33734" w:rsidRPr="008D6A9F">
        <w:rPr>
          <w:iCs/>
          <w:noProof/>
          <w:lang w:val="en-US"/>
        </w:rPr>
        <w:t>multilevel modeling.</w:t>
      </w:r>
    </w:p>
    <w:p w14:paraId="107907F5" w14:textId="77777777" w:rsidR="00A33734" w:rsidRPr="008D6A9F" w:rsidRDefault="00A33734" w:rsidP="00A33734">
      <w:pPr>
        <w:pStyle w:val="Judul2"/>
        <w:rPr>
          <w:noProof/>
          <w:lang w:val="en-US"/>
        </w:rPr>
      </w:pPr>
      <w:r w:rsidRPr="008D6A9F">
        <w:rPr>
          <w:noProof/>
          <w:lang w:val="en-US"/>
        </w:rPr>
        <w:t>Step 2: Model with Student Level Predictors</w:t>
      </w:r>
    </w:p>
    <w:p w14:paraId="0E33012C" w14:textId="67CA89C0" w:rsidR="00A33734" w:rsidRPr="008D6A9F" w:rsidRDefault="00A33734" w:rsidP="003A22A0">
      <w:pPr>
        <w:spacing w:after="240"/>
        <w:jc w:val="both"/>
        <w:rPr>
          <w:noProof/>
          <w:lang w:val="en-US"/>
        </w:rPr>
      </w:pPr>
      <w:r w:rsidRPr="008D6A9F">
        <w:rPr>
          <w:noProof/>
          <w:lang w:val="en-US"/>
        </w:rPr>
        <w:t xml:space="preserve">Equation (2) is the result of </w:t>
      </w:r>
      <w:r w:rsidR="001514D9">
        <w:rPr>
          <w:noProof/>
          <w:lang w:val="en-US"/>
        </w:rPr>
        <w:t xml:space="preserve">student-level </w:t>
      </w:r>
      <w:r w:rsidR="00C22568">
        <w:rPr>
          <w:noProof/>
          <w:lang w:val="en-US"/>
        </w:rPr>
        <w:t xml:space="preserve">multilevel </w:t>
      </w:r>
      <w:r w:rsidRPr="008D6A9F">
        <w:rPr>
          <w:noProof/>
          <w:lang w:val="en-US"/>
        </w:rPr>
        <w:t>model</w:t>
      </w:r>
      <w:r w:rsidR="00C22568">
        <w:rPr>
          <w:noProof/>
          <w:lang w:val="en-US"/>
        </w:rPr>
        <w:t xml:space="preserve">ing </w:t>
      </w:r>
      <w:r w:rsidR="001514D9">
        <w:rPr>
          <w:noProof/>
          <w:lang w:val="en-US"/>
        </w:rPr>
        <w:t xml:space="preserve">using </w:t>
      </w:r>
      <w:r w:rsidRPr="008D6A9F">
        <w:rPr>
          <w:noProof/>
          <w:lang w:val="en-US"/>
        </w:rPr>
        <w:t xml:space="preserve">predictors, namely </w:t>
      </w:r>
      <w:r w:rsidR="001169E4">
        <w:rPr>
          <w:noProof/>
          <w:lang w:val="en-US"/>
        </w:rPr>
        <w:t>HPY</w:t>
      </w:r>
      <w:r w:rsidRPr="008D6A9F">
        <w:rPr>
          <w:noProof/>
          <w:lang w:val="en-US"/>
        </w:rPr>
        <w:t xml:space="preserve">, </w:t>
      </w:r>
      <w:r w:rsidR="001169E4">
        <w:rPr>
          <w:noProof/>
          <w:lang w:val="en-US"/>
        </w:rPr>
        <w:t>LVL</w:t>
      </w:r>
      <w:r w:rsidRPr="008D6A9F">
        <w:rPr>
          <w:noProof/>
          <w:lang w:val="en-US"/>
        </w:rPr>
        <w:t xml:space="preserve">, </w:t>
      </w:r>
      <w:r w:rsidR="001169E4">
        <w:rPr>
          <w:noProof/>
          <w:lang w:val="en-US"/>
        </w:rPr>
        <w:t>PRD</w:t>
      </w:r>
      <w:r w:rsidRPr="008D6A9F">
        <w:rPr>
          <w:noProof/>
          <w:lang w:val="en-US"/>
        </w:rPr>
        <w:t xml:space="preserve">, </w:t>
      </w:r>
      <w:r w:rsidR="001169E4">
        <w:rPr>
          <w:noProof/>
          <w:lang w:val="en-US"/>
        </w:rPr>
        <w:t>JOY</w:t>
      </w:r>
      <w:r w:rsidRPr="008D6A9F">
        <w:rPr>
          <w:noProof/>
          <w:lang w:val="en-US"/>
        </w:rPr>
        <w:t xml:space="preserve">, </w:t>
      </w:r>
      <w:r w:rsidR="001169E4">
        <w:rPr>
          <w:noProof/>
          <w:lang w:val="en-US"/>
        </w:rPr>
        <w:t>CRF</w:t>
      </w:r>
      <w:r w:rsidRPr="008D6A9F">
        <w:rPr>
          <w:noProof/>
          <w:lang w:val="en-US"/>
        </w:rPr>
        <w:t xml:space="preserve">, </w:t>
      </w:r>
      <w:r w:rsidR="001169E4">
        <w:rPr>
          <w:noProof/>
          <w:lang w:val="en-US"/>
        </w:rPr>
        <w:t>LS</w:t>
      </w:r>
      <w:r w:rsidRPr="008D6A9F">
        <w:rPr>
          <w:noProof/>
          <w:lang w:val="en-US"/>
        </w:rPr>
        <w:t xml:space="preserve">, </w:t>
      </w:r>
      <w:r w:rsidR="001169E4">
        <w:rPr>
          <w:noProof/>
          <w:lang w:val="en-US"/>
        </w:rPr>
        <w:t>SCR</w:t>
      </w:r>
      <w:r w:rsidRPr="008D6A9F">
        <w:rPr>
          <w:noProof/>
          <w:lang w:val="en-US"/>
        </w:rPr>
        <w:t xml:space="preserve">, </w:t>
      </w:r>
      <w:r w:rsidR="001169E4">
        <w:rPr>
          <w:noProof/>
          <w:lang w:val="en-US"/>
        </w:rPr>
        <w:t>MSR</w:t>
      </w:r>
      <w:r w:rsidRPr="008D6A9F">
        <w:rPr>
          <w:noProof/>
          <w:lang w:val="en-US"/>
        </w:rPr>
        <w:t xml:space="preserve">, </w:t>
      </w:r>
      <w:r w:rsidR="001169E4">
        <w:rPr>
          <w:noProof/>
          <w:lang w:val="en-US"/>
        </w:rPr>
        <w:t>AFR</w:t>
      </w:r>
      <w:r w:rsidRPr="008D6A9F">
        <w:rPr>
          <w:noProof/>
          <w:lang w:val="en-US"/>
        </w:rPr>
        <w:t xml:space="preserve">, and </w:t>
      </w:r>
      <w:r w:rsidR="001169E4">
        <w:rPr>
          <w:noProof/>
          <w:lang w:val="en-US"/>
        </w:rPr>
        <w:t>SAD</w:t>
      </w:r>
      <w:r w:rsidRPr="008D6A9F">
        <w:rPr>
          <w:noProof/>
          <w:lang w:val="en-US"/>
        </w:rPr>
        <w:t xml:space="preserve">. </w:t>
      </w:r>
      <w:r w:rsidR="001514D9">
        <w:rPr>
          <w:noProof/>
          <w:lang w:val="en-US"/>
        </w:rPr>
        <w:t>I</w:t>
      </w:r>
      <w:r w:rsidRPr="008D6A9F">
        <w:rPr>
          <w:noProof/>
          <w:lang w:val="en-US"/>
        </w:rPr>
        <w:t xml:space="preserve">t was found </w:t>
      </w:r>
      <w:r w:rsidR="001514D9">
        <w:rPr>
          <w:noProof/>
          <w:lang w:val="en-US"/>
        </w:rPr>
        <w:t xml:space="preserve">from this model </w:t>
      </w:r>
      <w:r w:rsidRPr="008D6A9F">
        <w:rPr>
          <w:noProof/>
          <w:lang w:val="en-US"/>
        </w:rPr>
        <w:t>that the average mathematics score of students was 407</w:t>
      </w:r>
      <w:r w:rsidR="000273B1">
        <w:rPr>
          <w:noProof/>
          <w:lang w:val="en-US"/>
        </w:rPr>
        <w:t>.</w:t>
      </w:r>
      <w:r w:rsidRPr="008D6A9F">
        <w:rPr>
          <w:noProof/>
          <w:lang w:val="en-US"/>
        </w:rPr>
        <w:t>683. In addition, the variance between schools is 3</w:t>
      </w:r>
      <w:r w:rsidR="000273B1">
        <w:rPr>
          <w:noProof/>
          <w:lang w:val="en-US"/>
        </w:rPr>
        <w:t>,</w:t>
      </w:r>
      <w:r w:rsidRPr="008D6A9F">
        <w:rPr>
          <w:noProof/>
          <w:lang w:val="en-US"/>
        </w:rPr>
        <w:t>495 and the variance within schools is 2</w:t>
      </w:r>
      <w:r w:rsidR="000273B1">
        <w:rPr>
          <w:noProof/>
          <w:lang w:val="en-US"/>
        </w:rPr>
        <w:t>,</w:t>
      </w:r>
      <w:r w:rsidRPr="008D6A9F">
        <w:rPr>
          <w:noProof/>
          <w:lang w:val="en-US"/>
        </w:rPr>
        <w:t>553.</w:t>
      </w:r>
    </w:p>
    <w:p w14:paraId="55C0AD2E" w14:textId="1668E76D" w:rsidR="00A33734" w:rsidRPr="008D6A9F" w:rsidRDefault="00182716" w:rsidP="00C80465">
      <w:pPr>
        <w:jc w:val="both"/>
        <w:rPr>
          <w:noProof/>
          <w:lang w:val="en-US"/>
        </w:rPr>
      </w:pPr>
      <m:oMath>
        <m:sSub>
          <m:sSubPr>
            <m:ctrlPr>
              <w:rPr>
                <w:rFonts w:ascii="Cambria Math" w:hAnsi="Cambria Math"/>
                <w:i/>
                <w:noProof/>
                <w:lang w:val="en-US"/>
              </w:rPr>
            </m:ctrlPr>
          </m:sSubPr>
          <m:e>
            <m:acc>
              <m:accPr>
                <m:ctrlPr>
                  <w:rPr>
                    <w:rFonts w:ascii="Cambria Math" w:hAnsi="Cambria Math"/>
                    <w:i/>
                    <w:noProof/>
                    <w:lang w:val="en-US"/>
                  </w:rPr>
                </m:ctrlPr>
              </m:accPr>
              <m:e>
                <m:r>
                  <w:rPr>
                    <w:rFonts w:ascii="Cambria Math" w:hAnsi="Cambria Math"/>
                    <w:noProof/>
                    <w:lang w:val="en-US"/>
                  </w:rPr>
                  <m:t>MathScore</m:t>
                </m:r>
              </m:e>
            </m:acc>
          </m:e>
          <m:sub>
            <m:r>
              <w:rPr>
                <w:rFonts w:ascii="Cambria Math" w:hAnsi="Cambria Math"/>
                <w:noProof/>
                <w:lang w:val="en-US"/>
              </w:rPr>
              <m:t>ij</m:t>
            </m:r>
          </m:sub>
        </m:sSub>
        <m:r>
          <w:rPr>
            <w:rFonts w:ascii="Cambria Math" w:hAnsi="Cambria Math"/>
            <w:noProof/>
            <w:lang w:val="en-US"/>
          </w:rPr>
          <m:t>=407.683</m:t>
        </m:r>
        <m:d>
          <m:dPr>
            <m:ctrlPr>
              <w:rPr>
                <w:rFonts w:ascii="Cambria Math" w:hAnsi="Cambria Math"/>
                <w:i/>
                <w:noProof/>
                <w:lang w:val="en-US"/>
              </w:rPr>
            </m:ctrlPr>
          </m:dPr>
          <m:e>
            <m:r>
              <w:rPr>
                <w:rFonts w:ascii="Cambria Math" w:hAnsi="Cambria Math"/>
                <w:noProof/>
                <w:lang w:val="en-US"/>
              </w:rPr>
              <m:t>5.945</m:t>
            </m:r>
          </m:e>
        </m:d>
        <m:r>
          <w:rPr>
            <w:rFonts w:ascii="Cambria Math" w:hAnsi="Cambria Math"/>
            <w:noProof/>
            <w:lang w:val="en-US"/>
          </w:rPr>
          <m:t>+7.136</m:t>
        </m:r>
        <m:d>
          <m:dPr>
            <m:ctrlPr>
              <w:rPr>
                <w:rFonts w:ascii="Cambria Math" w:hAnsi="Cambria Math"/>
                <w:i/>
                <w:noProof/>
                <w:lang w:val="en-US"/>
              </w:rPr>
            </m:ctrlPr>
          </m:dPr>
          <m:e>
            <m:r>
              <w:rPr>
                <w:rFonts w:ascii="Cambria Math" w:hAnsi="Cambria Math"/>
                <w:noProof/>
                <w:lang w:val="en-US"/>
              </w:rPr>
              <m:t>5.945</m:t>
            </m:r>
          </m:e>
        </m:d>
        <m:sSub>
          <m:sSubPr>
            <m:ctrlPr>
              <w:rPr>
                <w:rFonts w:ascii="Cambria Math" w:hAnsi="Cambria Math"/>
                <w:i/>
                <w:noProof/>
                <w:lang w:val="en-US"/>
              </w:rPr>
            </m:ctrlPr>
          </m:sSubPr>
          <m:e>
            <m:r>
              <w:rPr>
                <w:rFonts w:ascii="Cambria Math" w:hAnsi="Cambria Math"/>
                <w:noProof/>
                <w:lang w:val="en-US"/>
              </w:rPr>
              <m:t>BHG</m:t>
            </m:r>
          </m:e>
          <m:sub>
            <m:r>
              <w:rPr>
                <w:rFonts w:ascii="Cambria Math" w:hAnsi="Cambria Math"/>
                <w:noProof/>
                <w:lang w:val="en-US"/>
              </w:rPr>
              <m:t>ij</m:t>
            </m:r>
          </m:sub>
        </m:sSub>
        <m:r>
          <m:rPr>
            <m:sty m:val="p"/>
          </m:rPr>
          <w:rPr>
            <w:rFonts w:ascii="Cambria Math" w:hAnsi="Cambria Math"/>
            <w:noProof/>
            <w:lang w:val="en-US"/>
          </w:rPr>
          <m:t>-</m:t>
        </m:r>
        <m:r>
          <w:rPr>
            <w:rFonts w:ascii="Cambria Math" w:hAnsi="Cambria Math"/>
            <w:noProof/>
            <w:lang w:val="en-US"/>
          </w:rPr>
          <m:t>3.039</m:t>
        </m:r>
        <m:d>
          <m:dPr>
            <m:ctrlPr>
              <w:rPr>
                <w:rFonts w:ascii="Cambria Math" w:hAnsi="Cambria Math"/>
                <w:i/>
                <w:noProof/>
                <w:lang w:val="en-US"/>
              </w:rPr>
            </m:ctrlPr>
          </m:dPr>
          <m:e>
            <m:r>
              <w:rPr>
                <w:rFonts w:ascii="Cambria Math" w:hAnsi="Cambria Math"/>
                <w:noProof/>
                <w:lang w:val="en-US"/>
              </w:rPr>
              <m:t>1.013</m:t>
            </m:r>
          </m:e>
        </m:d>
        <m:sSub>
          <m:sSubPr>
            <m:ctrlPr>
              <w:rPr>
                <w:rFonts w:ascii="Cambria Math" w:hAnsi="Cambria Math"/>
                <w:i/>
                <w:noProof/>
                <w:lang w:val="en-US"/>
              </w:rPr>
            </m:ctrlPr>
          </m:sSubPr>
          <m:e>
            <m:r>
              <w:rPr>
                <w:rFonts w:ascii="Cambria Math" w:hAnsi="Cambria Math"/>
                <w:noProof/>
                <w:lang w:val="en-US"/>
              </w:rPr>
              <m:t>SGT</m:t>
            </m:r>
          </m:e>
          <m:sub>
            <m:r>
              <w:rPr>
                <w:rFonts w:ascii="Cambria Math" w:hAnsi="Cambria Math"/>
                <w:noProof/>
                <w:lang w:val="en-US"/>
              </w:rPr>
              <m:t>ij</m:t>
            </m:r>
          </m:sub>
        </m:sSub>
        <m:r>
          <m:rPr>
            <m:sty m:val="p"/>
          </m:rPr>
          <w:rPr>
            <w:rFonts w:ascii="Cambria Math" w:hAnsi="Cambria Math"/>
            <w:noProof/>
            <w:lang w:val="en-US"/>
          </w:rPr>
          <m:t>-</m:t>
        </m:r>
        <m:r>
          <w:rPr>
            <w:rFonts w:ascii="Cambria Math" w:hAnsi="Cambria Math"/>
            <w:noProof/>
            <w:lang w:val="en-US"/>
          </w:rPr>
          <m:t>5.151</m:t>
        </m:r>
        <m:d>
          <m:dPr>
            <m:ctrlPr>
              <w:rPr>
                <w:rFonts w:ascii="Cambria Math" w:hAnsi="Cambria Math"/>
                <w:i/>
                <w:noProof/>
                <w:lang w:val="en-US"/>
              </w:rPr>
            </m:ctrlPr>
          </m:dPr>
          <m:e>
            <m:r>
              <w:rPr>
                <w:rFonts w:ascii="Cambria Math" w:hAnsi="Cambria Math"/>
                <w:noProof/>
                <w:lang w:val="en-US"/>
              </w:rPr>
              <m:t>0.920</m:t>
            </m:r>
          </m:e>
        </m:d>
        <m:sSub>
          <m:sSubPr>
            <m:ctrlPr>
              <w:rPr>
                <w:rFonts w:ascii="Cambria Math" w:hAnsi="Cambria Math"/>
                <w:i/>
                <w:noProof/>
                <w:lang w:val="en-US"/>
              </w:rPr>
            </m:ctrlPr>
          </m:sSubPr>
          <m:e>
            <m:r>
              <w:rPr>
                <w:rFonts w:ascii="Cambria Math" w:hAnsi="Cambria Math"/>
                <w:noProof/>
                <w:lang w:val="en-US"/>
              </w:rPr>
              <m:t>BGA</m:t>
            </m:r>
          </m:e>
          <m:sub>
            <m:r>
              <w:rPr>
                <w:rFonts w:ascii="Cambria Math" w:hAnsi="Cambria Math"/>
                <w:noProof/>
                <w:lang w:val="en-US"/>
              </w:rPr>
              <m:t>ij</m:t>
            </m:r>
          </m:sub>
        </m:sSub>
        <m:r>
          <m:rPr>
            <m:sty m:val="p"/>
          </m:rPr>
          <w:rPr>
            <w:rFonts w:ascii="Cambria Math" w:hAnsi="Cambria Math"/>
            <w:noProof/>
            <w:lang w:val="en-US"/>
          </w:rPr>
          <m:t>-0.786</m:t>
        </m:r>
        <m:d>
          <m:dPr>
            <m:ctrlPr>
              <w:rPr>
                <w:rFonts w:ascii="Cambria Math" w:hAnsi="Cambria Math"/>
                <w:i/>
                <w:noProof/>
                <w:lang w:val="en-US"/>
              </w:rPr>
            </m:ctrlPr>
          </m:dPr>
          <m:e>
            <m:r>
              <w:rPr>
                <w:rFonts w:ascii="Cambria Math" w:hAnsi="Cambria Math"/>
                <w:noProof/>
                <w:lang w:val="en-US"/>
              </w:rPr>
              <m:t>1.218</m:t>
            </m:r>
            <m:ctrlPr>
              <w:rPr>
                <w:rFonts w:ascii="Cambria Math" w:hAnsi="Cambria Math"/>
                <w:i/>
                <w:iCs/>
                <w:noProof/>
                <w:lang w:val="en-US"/>
              </w:rPr>
            </m:ctrlPr>
          </m:e>
        </m:d>
        <m:sSub>
          <m:sSubPr>
            <m:ctrlPr>
              <w:rPr>
                <w:rFonts w:ascii="Cambria Math" w:hAnsi="Cambria Math"/>
                <w:i/>
                <w:noProof/>
                <w:lang w:val="en-US"/>
              </w:rPr>
            </m:ctrlPr>
          </m:sSubPr>
          <m:e>
            <m:r>
              <w:rPr>
                <w:rFonts w:ascii="Cambria Math" w:hAnsi="Cambria Math"/>
                <w:noProof/>
                <w:lang w:val="en-US"/>
              </w:rPr>
              <m:t>GBR</m:t>
            </m:r>
          </m:e>
          <m:sub>
            <m:r>
              <w:rPr>
                <w:rFonts w:ascii="Cambria Math" w:hAnsi="Cambria Math"/>
                <w:noProof/>
                <w:lang w:val="en-US"/>
              </w:rPr>
              <m:t>ij</m:t>
            </m:r>
          </m:sub>
        </m:sSub>
        <m:r>
          <m:rPr>
            <m:sty m:val="p"/>
          </m:rPr>
          <w:rPr>
            <w:rFonts w:ascii="Cambria Math" w:hAnsi="Cambria Math"/>
            <w:noProof/>
            <w:lang w:val="en-US"/>
          </w:rPr>
          <m:t>-1.273</m:t>
        </m:r>
        <m:d>
          <m:dPr>
            <m:ctrlPr>
              <w:rPr>
                <w:rFonts w:ascii="Cambria Math" w:hAnsi="Cambria Math"/>
                <w:i/>
                <w:noProof/>
                <w:lang w:val="en-US"/>
              </w:rPr>
            </m:ctrlPr>
          </m:dPr>
          <m:e>
            <m:r>
              <w:rPr>
                <w:rFonts w:ascii="Cambria Math" w:hAnsi="Cambria Math"/>
                <w:noProof/>
                <w:lang w:val="en-US"/>
              </w:rPr>
              <m:t>1.154</m:t>
            </m:r>
          </m:e>
        </m:d>
        <m:sSub>
          <m:sSubPr>
            <m:ctrlPr>
              <w:rPr>
                <w:rFonts w:ascii="Cambria Math" w:hAnsi="Cambria Math"/>
                <w:i/>
                <w:noProof/>
                <w:lang w:val="en-US"/>
              </w:rPr>
            </m:ctrlPr>
          </m:sSubPr>
          <m:e>
            <m:r>
              <w:rPr>
                <w:rFonts w:ascii="Cambria Math" w:hAnsi="Cambria Math"/>
                <w:noProof/>
                <w:lang w:val="en-US"/>
              </w:rPr>
              <m:t>CRA</m:t>
            </m:r>
          </m:e>
          <m:sub>
            <m:r>
              <w:rPr>
                <w:rFonts w:ascii="Cambria Math" w:hAnsi="Cambria Math"/>
                <w:noProof/>
                <w:lang w:val="en-US"/>
              </w:rPr>
              <m:t>ij</m:t>
            </m:r>
          </m:sub>
        </m:sSub>
        <m:r>
          <m:rPr>
            <m:sty m:val="p"/>
          </m:rPr>
          <w:rPr>
            <w:rFonts w:ascii="Cambria Math" w:hAnsi="Cambria Math"/>
            <w:noProof/>
            <w:lang w:val="en-US"/>
          </w:rPr>
          <m:t>-0.556</m:t>
        </m:r>
        <m:d>
          <m:dPr>
            <m:ctrlPr>
              <w:rPr>
                <w:rFonts w:ascii="Cambria Math" w:hAnsi="Cambria Math"/>
                <w:i/>
                <w:noProof/>
                <w:lang w:val="en-US"/>
              </w:rPr>
            </m:ctrlPr>
          </m:dPr>
          <m:e>
            <m:r>
              <w:rPr>
                <w:rFonts w:ascii="Cambria Math" w:hAnsi="Cambria Math"/>
                <w:noProof/>
                <w:lang w:val="en-US"/>
              </w:rPr>
              <m:t>0.238</m:t>
            </m:r>
          </m:e>
        </m:d>
        <m:sSub>
          <m:sSubPr>
            <m:ctrlPr>
              <w:rPr>
                <w:rFonts w:ascii="Cambria Math" w:hAnsi="Cambria Math"/>
                <w:i/>
                <w:noProof/>
                <w:lang w:val="en-US"/>
              </w:rPr>
            </m:ctrlPr>
          </m:sSubPr>
          <m:e>
            <m:r>
              <w:rPr>
                <w:rFonts w:ascii="Cambria Math" w:hAnsi="Cambria Math"/>
                <w:noProof/>
                <w:lang w:val="en-US"/>
              </w:rPr>
              <m:t>KH</m:t>
            </m:r>
          </m:e>
          <m:sub>
            <m:r>
              <w:rPr>
                <w:rFonts w:ascii="Cambria Math" w:hAnsi="Cambria Math"/>
                <w:noProof/>
                <w:lang w:val="en-US"/>
              </w:rPr>
              <m:t>ij</m:t>
            </m:r>
          </m:sub>
        </m:sSub>
        <m:r>
          <w:rPr>
            <w:rFonts w:ascii="Cambria Math" w:hAnsi="Cambria Math"/>
            <w:noProof/>
            <w:lang w:val="en-US"/>
          </w:rPr>
          <m:t>+</m:t>
        </m:r>
        <m:r>
          <m:rPr>
            <m:sty m:val="p"/>
          </m:rPr>
          <w:rPr>
            <w:rFonts w:ascii="Cambria Math" w:hAnsi="Cambria Math"/>
            <w:noProof/>
            <w:lang w:val="en-US"/>
          </w:rPr>
          <m:t>4.976</m:t>
        </m:r>
        <m:d>
          <m:dPr>
            <m:ctrlPr>
              <w:rPr>
                <w:rFonts w:ascii="Cambria Math" w:hAnsi="Cambria Math"/>
                <w:i/>
                <w:noProof/>
                <w:lang w:val="en-US"/>
              </w:rPr>
            </m:ctrlPr>
          </m:dPr>
          <m:e>
            <m:r>
              <w:rPr>
                <w:rFonts w:ascii="Cambria Math" w:hAnsi="Cambria Math"/>
                <w:noProof/>
                <w:lang w:val="en-US"/>
              </w:rPr>
              <m:t>0.985</m:t>
            </m:r>
          </m:e>
        </m:d>
        <m:sSub>
          <m:sSubPr>
            <m:ctrlPr>
              <w:rPr>
                <w:rFonts w:ascii="Cambria Math" w:hAnsi="Cambria Math"/>
                <w:i/>
                <w:noProof/>
                <w:lang w:val="en-US"/>
              </w:rPr>
            </m:ctrlPr>
          </m:sSubPr>
          <m:e>
            <m:r>
              <w:rPr>
                <w:rFonts w:ascii="Cambria Math" w:hAnsi="Cambria Math"/>
                <w:noProof/>
                <w:lang w:val="en-US"/>
              </w:rPr>
              <m:t>CMS</m:t>
            </m:r>
          </m:e>
          <m:sub>
            <m:r>
              <w:rPr>
                <w:rFonts w:ascii="Cambria Math" w:hAnsi="Cambria Math"/>
                <w:noProof/>
                <w:lang w:val="en-US"/>
              </w:rPr>
              <m:t>ij</m:t>
            </m:r>
          </m:sub>
        </m:sSub>
        <m:r>
          <m:rPr>
            <m:sty m:val="p"/>
          </m:rPr>
          <w:rPr>
            <w:rFonts w:ascii="Cambria Math" w:hAnsi="Cambria Math"/>
            <w:noProof/>
            <w:lang w:val="en-US"/>
          </w:rPr>
          <m:t>-2.899</m:t>
        </m:r>
        <m:d>
          <m:dPr>
            <m:ctrlPr>
              <w:rPr>
                <w:rFonts w:ascii="Cambria Math" w:hAnsi="Cambria Math"/>
                <w:i/>
                <w:noProof/>
                <w:lang w:val="en-US"/>
              </w:rPr>
            </m:ctrlPr>
          </m:dPr>
          <m:e>
            <m:r>
              <w:rPr>
                <w:rFonts w:ascii="Cambria Math" w:hAnsi="Cambria Math"/>
                <w:noProof/>
                <w:lang w:val="en-US"/>
              </w:rPr>
              <m:t>0.734</m:t>
            </m:r>
          </m:e>
        </m:d>
        <m:sSub>
          <m:sSubPr>
            <m:ctrlPr>
              <w:rPr>
                <w:rFonts w:ascii="Cambria Math" w:hAnsi="Cambria Math"/>
                <w:i/>
                <w:noProof/>
                <w:lang w:val="en-US"/>
              </w:rPr>
            </m:ctrlPr>
          </m:sSubPr>
          <m:e>
            <m:r>
              <w:rPr>
                <w:rFonts w:ascii="Cambria Math" w:hAnsi="Cambria Math"/>
                <w:noProof/>
                <w:lang w:val="en-US"/>
              </w:rPr>
              <m:t>SSR</m:t>
            </m:r>
          </m:e>
          <m:sub>
            <m:r>
              <w:rPr>
                <w:rFonts w:ascii="Cambria Math" w:hAnsi="Cambria Math"/>
                <w:noProof/>
                <w:lang w:val="en-US"/>
              </w:rPr>
              <m:t>ij</m:t>
            </m:r>
          </m:sub>
        </m:sSub>
        <m:r>
          <m:rPr>
            <m:sty m:val="p"/>
          </m:rPr>
          <w:rPr>
            <w:rFonts w:ascii="Cambria Math" w:hAnsi="Cambria Math"/>
            <w:noProof/>
            <w:lang w:val="en-US"/>
          </w:rPr>
          <m:t>-0.181</m:t>
        </m:r>
        <m:d>
          <m:dPr>
            <m:ctrlPr>
              <w:rPr>
                <w:rFonts w:ascii="Cambria Math" w:hAnsi="Cambria Math"/>
                <w:i/>
                <w:noProof/>
                <w:lang w:val="en-US"/>
              </w:rPr>
            </m:ctrlPr>
          </m:dPr>
          <m:e>
            <m:r>
              <w:rPr>
                <w:rFonts w:ascii="Cambria Math" w:hAnsi="Cambria Math"/>
                <w:noProof/>
                <w:lang w:val="en-US"/>
              </w:rPr>
              <m:t>0.9531</m:t>
            </m:r>
          </m:e>
        </m:d>
        <m:sSub>
          <m:sSubPr>
            <m:ctrlPr>
              <w:rPr>
                <w:rFonts w:ascii="Cambria Math" w:hAnsi="Cambria Math"/>
                <w:i/>
                <w:noProof/>
                <w:lang w:val="en-US"/>
              </w:rPr>
            </m:ctrlPr>
          </m:sSubPr>
          <m:e>
            <m:r>
              <w:rPr>
                <w:rFonts w:ascii="Cambria Math" w:hAnsi="Cambria Math"/>
                <w:noProof/>
                <w:lang w:val="en-US"/>
              </w:rPr>
              <m:t>KTR</m:t>
            </m:r>
          </m:e>
          <m:sub>
            <m:r>
              <w:rPr>
                <w:rFonts w:ascii="Cambria Math" w:hAnsi="Cambria Math"/>
                <w:noProof/>
                <w:lang w:val="en-US"/>
              </w:rPr>
              <m:t>ij</m:t>
            </m:r>
          </m:sub>
        </m:sSub>
        <m:r>
          <m:rPr>
            <m:sty m:val="p"/>
          </m:rPr>
          <w:rPr>
            <w:rFonts w:ascii="Cambria Math" w:hAnsi="Cambria Math"/>
            <w:noProof/>
            <w:lang w:val="en-US"/>
          </w:rPr>
          <m:t>-2.252</m:t>
        </m:r>
        <m:d>
          <m:dPr>
            <m:ctrlPr>
              <w:rPr>
                <w:rFonts w:ascii="Cambria Math" w:hAnsi="Cambria Math"/>
                <w:i/>
                <w:noProof/>
                <w:lang w:val="en-US"/>
              </w:rPr>
            </m:ctrlPr>
          </m:dPr>
          <m:e>
            <m:r>
              <w:rPr>
                <w:rFonts w:ascii="Cambria Math" w:hAnsi="Cambria Math"/>
                <w:noProof/>
                <w:lang w:val="en-US"/>
              </w:rPr>
              <m:t>0.896</m:t>
            </m:r>
          </m:e>
        </m:d>
        <m:sSub>
          <m:sSubPr>
            <m:ctrlPr>
              <w:rPr>
                <w:rFonts w:ascii="Cambria Math" w:hAnsi="Cambria Math"/>
                <w:i/>
                <w:noProof/>
                <w:lang w:val="en-US"/>
              </w:rPr>
            </m:ctrlPr>
          </m:sSubPr>
          <m:e>
            <m:r>
              <w:rPr>
                <w:rFonts w:ascii="Cambria Math" w:hAnsi="Cambria Math"/>
                <w:noProof/>
                <w:lang w:val="en-US"/>
              </w:rPr>
              <m:t>SDH</m:t>
            </m:r>
          </m:e>
          <m:sub>
            <m:r>
              <w:rPr>
                <w:rFonts w:ascii="Cambria Math" w:hAnsi="Cambria Math"/>
                <w:noProof/>
                <w:lang w:val="en-US"/>
              </w:rPr>
              <m:t>ij</m:t>
            </m:r>
          </m:sub>
        </m:sSub>
      </m:oMath>
      <w:r w:rsidR="001514D9">
        <w:rPr>
          <w:noProof/>
          <w:lang w:val="en-US"/>
        </w:rPr>
        <w:tab/>
      </w:r>
      <w:r w:rsidR="00A33734" w:rsidRPr="008D6A9F">
        <w:rPr>
          <w:noProof/>
          <w:lang w:val="en-US"/>
        </w:rPr>
        <w:t>(2)</w:t>
      </w:r>
    </w:p>
    <w:p w14:paraId="6FD096D8" w14:textId="10EE58C5" w:rsidR="00A33734" w:rsidRPr="008D6A9F" w:rsidRDefault="00A33734" w:rsidP="00F77D5B">
      <w:pPr>
        <w:jc w:val="both"/>
        <w:rPr>
          <w:iCs/>
          <w:noProof/>
          <w:lang w:val="en-US"/>
        </w:rPr>
      </w:pPr>
      <w:r w:rsidRPr="008D6A9F">
        <w:rPr>
          <w:iCs/>
          <w:noProof/>
          <w:lang w:val="en-US"/>
        </w:rPr>
        <w:t>Seven out of ten variables are significant</w:t>
      </w:r>
      <w:r w:rsidR="00176991">
        <w:rPr>
          <w:iCs/>
          <w:noProof/>
          <w:lang w:val="en-US"/>
        </w:rPr>
        <w:t xml:space="preserve"> predictors</w:t>
      </w:r>
      <w:r w:rsidR="000273B1">
        <w:rPr>
          <w:iCs/>
          <w:noProof/>
          <w:lang w:val="en-US"/>
        </w:rPr>
        <w:t xml:space="preserve"> (</w:t>
      </w:r>
      <w:r w:rsidR="000273B1">
        <w:rPr>
          <w:i/>
          <w:noProof/>
          <w:lang w:val="en-US"/>
        </w:rPr>
        <w:t>p-value &lt; 0.05</w:t>
      </w:r>
      <w:r w:rsidR="000273B1">
        <w:rPr>
          <w:iCs/>
          <w:noProof/>
          <w:lang w:val="en-US"/>
        </w:rPr>
        <w:t>)</w:t>
      </w:r>
      <w:r w:rsidRPr="008D6A9F">
        <w:rPr>
          <w:iCs/>
          <w:noProof/>
          <w:lang w:val="en-US"/>
        </w:rPr>
        <w:t xml:space="preserve"> and the rest are not. The seven predictors are </w:t>
      </w:r>
      <w:r w:rsidR="001169E4">
        <w:rPr>
          <w:iCs/>
          <w:noProof/>
          <w:lang w:val="en-US"/>
        </w:rPr>
        <w:t>HPY</w:t>
      </w:r>
      <w:r w:rsidRPr="008D6A9F">
        <w:rPr>
          <w:iCs/>
          <w:noProof/>
          <w:lang w:val="en-US"/>
        </w:rPr>
        <w:t xml:space="preserve">, </w:t>
      </w:r>
      <w:r w:rsidR="001169E4">
        <w:rPr>
          <w:iCs/>
          <w:noProof/>
          <w:lang w:val="en-US"/>
        </w:rPr>
        <w:t>LVL</w:t>
      </w:r>
      <w:r w:rsidRPr="008D6A9F">
        <w:rPr>
          <w:iCs/>
          <w:noProof/>
          <w:lang w:val="en-US"/>
        </w:rPr>
        <w:t xml:space="preserve">, </w:t>
      </w:r>
      <w:r w:rsidR="001169E4">
        <w:rPr>
          <w:iCs/>
          <w:noProof/>
          <w:lang w:val="en-US"/>
        </w:rPr>
        <w:t>PRD</w:t>
      </w:r>
      <w:r w:rsidRPr="008D6A9F">
        <w:rPr>
          <w:iCs/>
          <w:noProof/>
          <w:lang w:val="en-US"/>
        </w:rPr>
        <w:t xml:space="preserve">, </w:t>
      </w:r>
      <w:r w:rsidR="001169E4">
        <w:rPr>
          <w:iCs/>
          <w:noProof/>
          <w:lang w:val="en-US"/>
        </w:rPr>
        <w:t>LS</w:t>
      </w:r>
      <w:r w:rsidRPr="008D6A9F">
        <w:rPr>
          <w:iCs/>
          <w:noProof/>
          <w:lang w:val="en-US"/>
        </w:rPr>
        <w:t xml:space="preserve">, </w:t>
      </w:r>
      <w:r w:rsidR="001169E4">
        <w:rPr>
          <w:iCs/>
          <w:noProof/>
          <w:lang w:val="en-US"/>
        </w:rPr>
        <w:t>SCR</w:t>
      </w:r>
      <w:r w:rsidRPr="008D6A9F">
        <w:rPr>
          <w:iCs/>
          <w:noProof/>
          <w:lang w:val="en-US"/>
        </w:rPr>
        <w:t xml:space="preserve">, </w:t>
      </w:r>
      <w:r w:rsidR="001169E4">
        <w:rPr>
          <w:iCs/>
          <w:noProof/>
          <w:lang w:val="en-US"/>
        </w:rPr>
        <w:t>MSR</w:t>
      </w:r>
      <w:r w:rsidRPr="008D6A9F">
        <w:rPr>
          <w:iCs/>
          <w:noProof/>
          <w:lang w:val="en-US"/>
        </w:rPr>
        <w:t xml:space="preserve">, </w:t>
      </w:r>
      <w:r w:rsidR="001169E4">
        <w:rPr>
          <w:iCs/>
          <w:noProof/>
          <w:lang w:val="en-US"/>
        </w:rPr>
        <w:t>SAD</w:t>
      </w:r>
      <w:r w:rsidRPr="008D6A9F">
        <w:rPr>
          <w:iCs/>
          <w:noProof/>
          <w:lang w:val="en-US"/>
        </w:rPr>
        <w:t xml:space="preserve">. From seven variables, only two had positive effect, namely </w:t>
      </w:r>
      <w:r w:rsidR="001169E4">
        <w:rPr>
          <w:iCs/>
          <w:noProof/>
          <w:lang w:val="en-US"/>
        </w:rPr>
        <w:t>HPY</w:t>
      </w:r>
      <w:r w:rsidRPr="008D6A9F">
        <w:rPr>
          <w:iCs/>
          <w:noProof/>
          <w:lang w:val="en-US"/>
        </w:rPr>
        <w:t xml:space="preserve"> and </w:t>
      </w:r>
      <w:r w:rsidR="001169E4">
        <w:rPr>
          <w:iCs/>
          <w:noProof/>
          <w:lang w:val="en-US"/>
        </w:rPr>
        <w:t>SCR</w:t>
      </w:r>
      <w:r w:rsidRPr="008D6A9F">
        <w:rPr>
          <w:iCs/>
          <w:noProof/>
          <w:lang w:val="en-US"/>
        </w:rPr>
        <w:t xml:space="preserve">. This means </w:t>
      </w:r>
      <w:r w:rsidR="00176991">
        <w:rPr>
          <w:iCs/>
          <w:noProof/>
          <w:lang w:val="en-US"/>
        </w:rPr>
        <w:t xml:space="preserve">that </w:t>
      </w:r>
      <w:r w:rsidRPr="008D6A9F">
        <w:rPr>
          <w:iCs/>
          <w:noProof/>
          <w:lang w:val="en-US"/>
        </w:rPr>
        <w:t>if the student feels happier and more scared</w:t>
      </w:r>
      <w:r w:rsidR="00176991">
        <w:rPr>
          <w:iCs/>
          <w:noProof/>
          <w:lang w:val="en-US"/>
        </w:rPr>
        <w:t xml:space="preserve">, </w:t>
      </w:r>
      <w:r w:rsidR="00176991" w:rsidRPr="008D6A9F">
        <w:rPr>
          <w:iCs/>
          <w:noProof/>
          <w:lang w:val="en-US"/>
        </w:rPr>
        <w:t>the math score will be higher</w:t>
      </w:r>
      <w:r w:rsidRPr="008D6A9F">
        <w:rPr>
          <w:iCs/>
          <w:noProof/>
          <w:lang w:val="en-US"/>
        </w:rPr>
        <w:t xml:space="preserve">. While the </w:t>
      </w:r>
      <w:r w:rsidR="00176991">
        <w:rPr>
          <w:iCs/>
          <w:noProof/>
          <w:lang w:val="en-US"/>
        </w:rPr>
        <w:t xml:space="preserve">other </w:t>
      </w:r>
      <w:r w:rsidRPr="008D6A9F">
        <w:rPr>
          <w:iCs/>
          <w:noProof/>
          <w:lang w:val="en-US"/>
        </w:rPr>
        <w:t>five significant predictor variables, namely the frequency of feeling lively, proud, miserable, sad, and life satisfaction</w:t>
      </w:r>
      <w:r w:rsidR="00176991">
        <w:rPr>
          <w:iCs/>
          <w:noProof/>
          <w:lang w:val="en-US"/>
        </w:rPr>
        <w:t>,</w:t>
      </w:r>
      <w:r w:rsidRPr="008D6A9F">
        <w:rPr>
          <w:iCs/>
          <w:noProof/>
          <w:lang w:val="en-US"/>
        </w:rPr>
        <w:t xml:space="preserve"> all have negative effects. </w:t>
      </w:r>
    </w:p>
    <w:p w14:paraId="3037D99A" w14:textId="0279412F" w:rsidR="00A33734" w:rsidRPr="008D6A9F" w:rsidRDefault="00EF4726" w:rsidP="00A33734">
      <w:pPr>
        <w:pStyle w:val="BodytextIndented"/>
        <w:rPr>
          <w:noProof/>
        </w:rPr>
      </w:pPr>
      <w:r>
        <w:rPr>
          <w:noProof/>
        </w:rPr>
        <w:t>Adding</w:t>
      </w:r>
      <w:r w:rsidR="00A33734" w:rsidRPr="008D6A9F">
        <w:rPr>
          <w:noProof/>
        </w:rPr>
        <w:t xml:space="preserve"> predictor variables </w:t>
      </w:r>
      <w:r>
        <w:rPr>
          <w:noProof/>
        </w:rPr>
        <w:t xml:space="preserve">resulted the </w:t>
      </w:r>
      <w:r w:rsidR="00A33734" w:rsidRPr="008D6A9F">
        <w:rPr>
          <w:noProof/>
        </w:rPr>
        <w:t xml:space="preserve">variances between schools and </w:t>
      </w:r>
      <w:r>
        <w:rPr>
          <w:noProof/>
        </w:rPr>
        <w:t>with</w:t>
      </w:r>
      <w:r w:rsidR="00A33734" w:rsidRPr="008D6A9F">
        <w:rPr>
          <w:noProof/>
        </w:rPr>
        <w:t>in schools decreas</w:t>
      </w:r>
      <w:r>
        <w:rPr>
          <w:noProof/>
        </w:rPr>
        <w:t>ing</w:t>
      </w:r>
      <w:r w:rsidR="00A33734" w:rsidRPr="008D6A9F">
        <w:rPr>
          <w:noProof/>
        </w:rPr>
        <w:t xml:space="preserve"> from 3</w:t>
      </w:r>
      <w:r w:rsidR="000273B1">
        <w:rPr>
          <w:noProof/>
        </w:rPr>
        <w:t>,</w:t>
      </w:r>
      <w:r w:rsidR="00A33734" w:rsidRPr="008D6A9F">
        <w:rPr>
          <w:noProof/>
        </w:rPr>
        <w:t>599 to 3</w:t>
      </w:r>
      <w:r w:rsidR="000273B1">
        <w:rPr>
          <w:noProof/>
        </w:rPr>
        <w:t>,</w:t>
      </w:r>
      <w:r w:rsidR="00A33734" w:rsidRPr="008D6A9F">
        <w:rPr>
          <w:noProof/>
        </w:rPr>
        <w:t>495 and 2</w:t>
      </w:r>
      <w:r w:rsidR="000273B1">
        <w:rPr>
          <w:noProof/>
        </w:rPr>
        <w:t>,</w:t>
      </w:r>
      <w:r w:rsidR="00A33734" w:rsidRPr="008D6A9F">
        <w:rPr>
          <w:noProof/>
        </w:rPr>
        <w:t>585 to 2</w:t>
      </w:r>
      <w:r w:rsidR="000273B1">
        <w:rPr>
          <w:noProof/>
        </w:rPr>
        <w:t>,</w:t>
      </w:r>
      <w:r w:rsidR="00A33734" w:rsidRPr="008D6A9F">
        <w:rPr>
          <w:noProof/>
        </w:rPr>
        <w:t>553, respectively. A</w:t>
      </w:r>
      <w:r>
        <w:rPr>
          <w:noProof/>
        </w:rPr>
        <w:t>proximately</w:t>
      </w:r>
      <w:r w:rsidR="00A33734" w:rsidRPr="008D6A9F">
        <w:rPr>
          <w:noProof/>
        </w:rPr>
        <w:t xml:space="preserve"> 2.2% of the total variance (1.2% at the student level and 2.9% at the school level) is explained by the addition of </w:t>
      </w:r>
      <w:r>
        <w:rPr>
          <w:noProof/>
        </w:rPr>
        <w:t xml:space="preserve">the </w:t>
      </w:r>
      <w:r w:rsidR="00A33734" w:rsidRPr="008D6A9F">
        <w:rPr>
          <w:noProof/>
        </w:rPr>
        <w:t>student level predictor variables in this model.</w:t>
      </w:r>
    </w:p>
    <w:p w14:paraId="69A3A99B" w14:textId="77777777" w:rsidR="00A33734" w:rsidRPr="008D6A9F" w:rsidRDefault="00A33734" w:rsidP="00A33734">
      <w:pPr>
        <w:pStyle w:val="Judul2"/>
        <w:rPr>
          <w:noProof/>
          <w:lang w:val="en-US"/>
        </w:rPr>
      </w:pPr>
      <w:r w:rsidRPr="008D6A9F">
        <w:rPr>
          <w:noProof/>
          <w:lang w:val="en-US"/>
        </w:rPr>
        <w:t>Step 3: Model with Addition of School Level Predictors</w:t>
      </w:r>
    </w:p>
    <w:p w14:paraId="46AE9625" w14:textId="729F7CF2" w:rsidR="00A33734" w:rsidRPr="008D6A9F" w:rsidRDefault="00A33734" w:rsidP="00F77D5B">
      <w:pPr>
        <w:spacing w:after="240"/>
        <w:jc w:val="both"/>
        <w:rPr>
          <w:noProof/>
          <w:lang w:val="en-US"/>
        </w:rPr>
      </w:pPr>
      <w:r w:rsidRPr="008D6A9F">
        <w:rPr>
          <w:noProof/>
          <w:lang w:val="en-US"/>
        </w:rPr>
        <w:t xml:space="preserve">The second step is to </w:t>
      </w:r>
      <w:r w:rsidR="002B02E3">
        <w:rPr>
          <w:noProof/>
          <w:lang w:val="en-US"/>
        </w:rPr>
        <w:t>build</w:t>
      </w:r>
      <w:r w:rsidRPr="008D6A9F">
        <w:rPr>
          <w:noProof/>
          <w:lang w:val="en-US"/>
        </w:rPr>
        <w:t xml:space="preserve"> a model with school-level predictors namely </w:t>
      </w:r>
      <w:r w:rsidR="001169E4">
        <w:rPr>
          <w:noProof/>
          <w:lang w:val="en-US"/>
        </w:rPr>
        <w:t>SC</w:t>
      </w:r>
      <w:r w:rsidRPr="008D6A9F">
        <w:rPr>
          <w:noProof/>
          <w:lang w:val="en-US"/>
        </w:rPr>
        <w:t xml:space="preserve">, </w:t>
      </w:r>
      <w:r w:rsidR="001169E4">
        <w:rPr>
          <w:noProof/>
          <w:lang w:val="en-US"/>
        </w:rPr>
        <w:t>DTC</w:t>
      </w:r>
      <w:r w:rsidRPr="008D6A9F">
        <w:rPr>
          <w:noProof/>
          <w:lang w:val="en-US"/>
        </w:rPr>
        <w:t xml:space="preserve">, and </w:t>
      </w:r>
      <w:r w:rsidR="001169E4">
        <w:rPr>
          <w:noProof/>
          <w:lang w:val="en-US"/>
        </w:rPr>
        <w:t>SL</w:t>
      </w:r>
      <w:r w:rsidRPr="008D6A9F">
        <w:rPr>
          <w:noProof/>
          <w:lang w:val="en-US"/>
        </w:rPr>
        <w:t xml:space="preserve"> </w:t>
      </w:r>
      <w:r w:rsidR="002B02E3">
        <w:rPr>
          <w:noProof/>
          <w:lang w:val="en-US"/>
        </w:rPr>
        <w:t xml:space="preserve">as </w:t>
      </w:r>
      <w:r w:rsidRPr="008D6A9F">
        <w:rPr>
          <w:noProof/>
          <w:lang w:val="en-US"/>
        </w:rPr>
        <w:t xml:space="preserve">written in equation (3). </w:t>
      </w:r>
      <w:r w:rsidR="002B02E3">
        <w:rPr>
          <w:noProof/>
          <w:lang w:val="en-US"/>
        </w:rPr>
        <w:t>I</w:t>
      </w:r>
      <w:r w:rsidRPr="008D6A9F">
        <w:rPr>
          <w:noProof/>
          <w:lang w:val="en-US"/>
        </w:rPr>
        <w:t>t was found</w:t>
      </w:r>
      <w:r w:rsidR="002B02E3">
        <w:rPr>
          <w:noProof/>
          <w:lang w:val="en-US"/>
        </w:rPr>
        <w:t xml:space="preserve"> from this model</w:t>
      </w:r>
      <w:r w:rsidRPr="008D6A9F">
        <w:rPr>
          <w:noProof/>
          <w:lang w:val="en-US"/>
        </w:rPr>
        <w:t xml:space="preserve"> that the average mathematics score of students was 335</w:t>
      </w:r>
      <w:r w:rsidR="000273B1">
        <w:rPr>
          <w:noProof/>
          <w:lang w:val="en-US"/>
        </w:rPr>
        <w:t>.</w:t>
      </w:r>
      <w:r w:rsidRPr="008D6A9F">
        <w:rPr>
          <w:noProof/>
          <w:lang w:val="en-US"/>
        </w:rPr>
        <w:t>586. In addition, the variance between schools is 2</w:t>
      </w:r>
      <w:r w:rsidR="000273B1">
        <w:rPr>
          <w:noProof/>
          <w:lang w:val="en-US"/>
        </w:rPr>
        <w:t>,</w:t>
      </w:r>
      <w:r w:rsidRPr="008D6A9F">
        <w:rPr>
          <w:noProof/>
          <w:lang w:val="en-US"/>
        </w:rPr>
        <w:t xml:space="preserve">573 and the variance </w:t>
      </w:r>
      <w:r w:rsidR="002B02E3">
        <w:rPr>
          <w:noProof/>
          <w:lang w:val="en-US"/>
        </w:rPr>
        <w:t>with</w:t>
      </w:r>
      <w:r w:rsidRPr="008D6A9F">
        <w:rPr>
          <w:noProof/>
          <w:lang w:val="en-US"/>
        </w:rPr>
        <w:t>in schools is 2</w:t>
      </w:r>
      <w:r w:rsidR="000273B1">
        <w:rPr>
          <w:noProof/>
          <w:lang w:val="en-US"/>
        </w:rPr>
        <w:t>,</w:t>
      </w:r>
      <w:r w:rsidRPr="008D6A9F">
        <w:rPr>
          <w:noProof/>
          <w:lang w:val="en-US"/>
        </w:rPr>
        <w:t>553.</w:t>
      </w:r>
    </w:p>
    <w:p w14:paraId="32C2E66E" w14:textId="08C920A5" w:rsidR="00A33734" w:rsidRPr="00A33734" w:rsidRDefault="00182716" w:rsidP="00A33734">
      <w:pPr>
        <w:rPr>
          <w:noProof/>
          <w:lang w:val="en-US"/>
        </w:rPr>
      </w:pPr>
      <m:oMath>
        <m:sSub>
          <m:sSubPr>
            <m:ctrlPr>
              <w:rPr>
                <w:rFonts w:ascii="Cambria Math" w:hAnsi="Cambria Math"/>
                <w:i/>
                <w:noProof/>
                <w:lang w:val="en-US"/>
              </w:rPr>
            </m:ctrlPr>
          </m:sSubPr>
          <m:e>
            <m:acc>
              <m:accPr>
                <m:ctrlPr>
                  <w:rPr>
                    <w:rFonts w:ascii="Cambria Math" w:hAnsi="Cambria Math"/>
                    <w:i/>
                    <w:noProof/>
                    <w:lang w:val="en-US"/>
                  </w:rPr>
                </m:ctrlPr>
              </m:accPr>
              <m:e>
                <m:r>
                  <w:rPr>
                    <w:rFonts w:ascii="Cambria Math" w:hAnsi="Cambria Math"/>
                    <w:noProof/>
                    <w:lang w:val="en-US"/>
                  </w:rPr>
                  <m:t>MathScore</m:t>
                </m:r>
              </m:e>
            </m:acc>
          </m:e>
          <m:sub>
            <m:r>
              <w:rPr>
                <w:rFonts w:ascii="Cambria Math" w:hAnsi="Cambria Math"/>
                <w:noProof/>
                <w:lang w:val="en-US"/>
              </w:rPr>
              <m:t>ij</m:t>
            </m:r>
          </m:sub>
        </m:sSub>
        <m:r>
          <w:rPr>
            <w:rFonts w:ascii="Cambria Math" w:hAnsi="Cambria Math"/>
            <w:noProof/>
            <w:lang w:val="en-US"/>
          </w:rPr>
          <m:t>=</m:t>
        </m:r>
        <m:r>
          <m:rPr>
            <m:sty m:val="p"/>
          </m:rPr>
          <w:rPr>
            <w:rFonts w:ascii="Cambria Math" w:hAnsi="Cambria Math"/>
            <w:noProof/>
            <w:lang w:val="en-US"/>
          </w:rPr>
          <m:t>335.586</m:t>
        </m:r>
        <m:d>
          <m:dPr>
            <m:ctrlPr>
              <w:rPr>
                <w:rFonts w:ascii="Cambria Math" w:hAnsi="Cambria Math"/>
                <w:i/>
                <w:noProof/>
                <w:lang w:val="en-US"/>
              </w:rPr>
            </m:ctrlPr>
          </m:dPr>
          <m:e>
            <m:r>
              <w:rPr>
                <w:rFonts w:ascii="Cambria Math" w:hAnsi="Cambria Math"/>
                <w:noProof/>
                <w:lang w:val="en-US"/>
              </w:rPr>
              <m:t>13.064</m:t>
            </m:r>
          </m:e>
        </m:d>
        <m:r>
          <w:rPr>
            <w:rFonts w:ascii="Cambria Math" w:hAnsi="Cambria Math"/>
            <w:noProof/>
            <w:lang w:val="en-US"/>
          </w:rPr>
          <m:t>+7.154</m:t>
        </m:r>
        <m:d>
          <m:dPr>
            <m:ctrlPr>
              <w:rPr>
                <w:rFonts w:ascii="Cambria Math" w:hAnsi="Cambria Math"/>
                <w:i/>
                <w:noProof/>
                <w:lang w:val="en-US"/>
              </w:rPr>
            </m:ctrlPr>
          </m:dPr>
          <m:e>
            <m:r>
              <w:rPr>
                <w:rFonts w:ascii="Cambria Math" w:hAnsi="Cambria Math"/>
                <w:noProof/>
                <w:lang w:val="en-US"/>
              </w:rPr>
              <m:t>1.118</m:t>
            </m:r>
          </m:e>
        </m:d>
        <m:sSub>
          <m:sSubPr>
            <m:ctrlPr>
              <w:rPr>
                <w:rFonts w:ascii="Cambria Math" w:hAnsi="Cambria Math"/>
                <w:i/>
                <w:noProof/>
                <w:lang w:val="en-US"/>
              </w:rPr>
            </m:ctrlPr>
          </m:sSubPr>
          <m:e>
            <m:r>
              <w:rPr>
                <w:rFonts w:ascii="Cambria Math" w:hAnsi="Cambria Math"/>
                <w:noProof/>
                <w:lang w:val="en-US"/>
              </w:rPr>
              <m:t>BHG</m:t>
            </m:r>
          </m:e>
          <m:sub>
            <m:r>
              <w:rPr>
                <w:rFonts w:ascii="Cambria Math" w:hAnsi="Cambria Math"/>
                <w:noProof/>
                <w:lang w:val="en-US"/>
              </w:rPr>
              <m:t>ij</m:t>
            </m:r>
          </m:sub>
        </m:sSub>
        <m:r>
          <m:rPr>
            <m:sty m:val="p"/>
          </m:rPr>
          <w:rPr>
            <w:rFonts w:ascii="Cambria Math" w:hAnsi="Cambria Math"/>
            <w:noProof/>
            <w:lang w:val="en-US"/>
          </w:rPr>
          <m:t>-</m:t>
        </m:r>
        <m:r>
          <w:rPr>
            <w:rFonts w:ascii="Cambria Math" w:hAnsi="Cambria Math"/>
            <w:noProof/>
            <w:lang w:val="en-US"/>
          </w:rPr>
          <m:t>3.074</m:t>
        </m:r>
        <m:d>
          <m:dPr>
            <m:ctrlPr>
              <w:rPr>
                <w:rFonts w:ascii="Cambria Math" w:hAnsi="Cambria Math"/>
                <w:i/>
                <w:noProof/>
                <w:lang w:val="en-US"/>
              </w:rPr>
            </m:ctrlPr>
          </m:dPr>
          <m:e>
            <m:r>
              <w:rPr>
                <w:rFonts w:ascii="Cambria Math" w:hAnsi="Cambria Math"/>
                <w:noProof/>
                <w:lang w:val="en-US"/>
              </w:rPr>
              <m:t>1.013</m:t>
            </m:r>
          </m:e>
        </m:d>
        <m:sSub>
          <m:sSubPr>
            <m:ctrlPr>
              <w:rPr>
                <w:rFonts w:ascii="Cambria Math" w:hAnsi="Cambria Math"/>
                <w:i/>
                <w:noProof/>
                <w:lang w:val="en-US"/>
              </w:rPr>
            </m:ctrlPr>
          </m:sSubPr>
          <m:e>
            <m:r>
              <w:rPr>
                <w:rFonts w:ascii="Cambria Math" w:hAnsi="Cambria Math"/>
                <w:noProof/>
                <w:lang w:val="en-US"/>
              </w:rPr>
              <m:t>SGT</m:t>
            </m:r>
          </m:e>
          <m:sub>
            <m:r>
              <w:rPr>
                <w:rFonts w:ascii="Cambria Math" w:hAnsi="Cambria Math"/>
                <w:noProof/>
                <w:lang w:val="en-US"/>
              </w:rPr>
              <m:t>ij</m:t>
            </m:r>
          </m:sub>
        </m:sSub>
        <m:r>
          <m:rPr>
            <m:sty m:val="p"/>
          </m:rPr>
          <w:rPr>
            <w:rFonts w:ascii="Cambria Math" w:hAnsi="Cambria Math"/>
            <w:noProof/>
            <w:lang w:val="en-US"/>
          </w:rPr>
          <m:t>-</m:t>
        </m:r>
        <m:r>
          <w:rPr>
            <w:rFonts w:ascii="Cambria Math" w:hAnsi="Cambria Math"/>
            <w:noProof/>
            <w:lang w:val="en-US"/>
          </w:rPr>
          <m:t>5.177</m:t>
        </m:r>
        <m:d>
          <m:dPr>
            <m:ctrlPr>
              <w:rPr>
                <w:rFonts w:ascii="Cambria Math" w:hAnsi="Cambria Math"/>
                <w:i/>
                <w:noProof/>
                <w:lang w:val="en-US"/>
              </w:rPr>
            </m:ctrlPr>
          </m:dPr>
          <m:e>
            <m:r>
              <w:rPr>
                <w:rFonts w:ascii="Cambria Math" w:hAnsi="Cambria Math"/>
                <w:noProof/>
                <w:lang w:val="en-US"/>
              </w:rPr>
              <m:t>0.919</m:t>
            </m:r>
          </m:e>
        </m:d>
        <m:sSub>
          <m:sSubPr>
            <m:ctrlPr>
              <w:rPr>
                <w:rFonts w:ascii="Cambria Math" w:hAnsi="Cambria Math"/>
                <w:i/>
                <w:noProof/>
                <w:lang w:val="en-US"/>
              </w:rPr>
            </m:ctrlPr>
          </m:sSubPr>
          <m:e>
            <m:r>
              <w:rPr>
                <w:rFonts w:ascii="Cambria Math" w:hAnsi="Cambria Math"/>
                <w:noProof/>
                <w:lang w:val="en-US"/>
              </w:rPr>
              <m:t>BGA</m:t>
            </m:r>
          </m:e>
          <m:sub>
            <m:r>
              <w:rPr>
                <w:rFonts w:ascii="Cambria Math" w:hAnsi="Cambria Math"/>
                <w:noProof/>
                <w:lang w:val="en-US"/>
              </w:rPr>
              <m:t>ij</m:t>
            </m:r>
          </m:sub>
        </m:sSub>
        <m:r>
          <m:rPr>
            <m:sty m:val="p"/>
          </m:rPr>
          <w:rPr>
            <w:rFonts w:ascii="Cambria Math" w:hAnsi="Cambria Math"/>
            <w:noProof/>
            <w:lang w:val="en-US"/>
          </w:rPr>
          <m:t>-0.813</m:t>
        </m:r>
        <m:d>
          <m:dPr>
            <m:ctrlPr>
              <w:rPr>
                <w:rFonts w:ascii="Cambria Math" w:hAnsi="Cambria Math"/>
                <w:i/>
                <w:noProof/>
                <w:lang w:val="en-US"/>
              </w:rPr>
            </m:ctrlPr>
          </m:dPr>
          <m:e>
            <m:r>
              <w:rPr>
                <w:rFonts w:ascii="Cambria Math" w:hAnsi="Cambria Math"/>
                <w:noProof/>
                <w:lang w:val="en-US"/>
              </w:rPr>
              <m:t>1.218</m:t>
            </m:r>
            <m:ctrlPr>
              <w:rPr>
                <w:rFonts w:ascii="Cambria Math" w:hAnsi="Cambria Math"/>
                <w:i/>
                <w:iCs/>
                <w:noProof/>
                <w:lang w:val="en-US"/>
              </w:rPr>
            </m:ctrlPr>
          </m:e>
        </m:d>
        <m:sSub>
          <m:sSubPr>
            <m:ctrlPr>
              <w:rPr>
                <w:rFonts w:ascii="Cambria Math" w:hAnsi="Cambria Math"/>
                <w:i/>
                <w:noProof/>
                <w:lang w:val="en-US"/>
              </w:rPr>
            </m:ctrlPr>
          </m:sSubPr>
          <m:e>
            <m:r>
              <w:rPr>
                <w:rFonts w:ascii="Cambria Math" w:hAnsi="Cambria Math"/>
                <w:noProof/>
                <w:lang w:val="en-US"/>
              </w:rPr>
              <m:t>GBR</m:t>
            </m:r>
          </m:e>
          <m:sub>
            <m:r>
              <w:rPr>
                <w:rFonts w:ascii="Cambria Math" w:hAnsi="Cambria Math"/>
                <w:noProof/>
                <w:lang w:val="en-US"/>
              </w:rPr>
              <m:t>ij</m:t>
            </m:r>
          </m:sub>
        </m:sSub>
        <m:r>
          <m:rPr>
            <m:sty m:val="p"/>
          </m:rPr>
          <w:rPr>
            <w:rFonts w:ascii="Cambria Math" w:hAnsi="Cambria Math"/>
            <w:noProof/>
            <w:lang w:val="en-US"/>
          </w:rPr>
          <m:t>-1.245</m:t>
        </m:r>
        <m:d>
          <m:dPr>
            <m:ctrlPr>
              <w:rPr>
                <w:rFonts w:ascii="Cambria Math" w:hAnsi="Cambria Math"/>
                <w:i/>
                <w:noProof/>
                <w:lang w:val="en-US"/>
              </w:rPr>
            </m:ctrlPr>
          </m:dPr>
          <m:e>
            <m:r>
              <w:rPr>
                <w:rFonts w:ascii="Cambria Math" w:hAnsi="Cambria Math"/>
                <w:noProof/>
                <w:lang w:val="en-US"/>
              </w:rPr>
              <m:t>1.153</m:t>
            </m:r>
          </m:e>
        </m:d>
        <m:sSub>
          <m:sSubPr>
            <m:ctrlPr>
              <w:rPr>
                <w:rFonts w:ascii="Cambria Math" w:hAnsi="Cambria Math"/>
                <w:i/>
                <w:noProof/>
                <w:lang w:val="en-US"/>
              </w:rPr>
            </m:ctrlPr>
          </m:sSubPr>
          <m:e>
            <m:r>
              <w:rPr>
                <w:rFonts w:ascii="Cambria Math" w:hAnsi="Cambria Math"/>
                <w:noProof/>
                <w:lang w:val="en-US"/>
              </w:rPr>
              <m:t>CRA</m:t>
            </m:r>
          </m:e>
          <m:sub>
            <m:r>
              <w:rPr>
                <w:rFonts w:ascii="Cambria Math" w:hAnsi="Cambria Math"/>
                <w:noProof/>
                <w:lang w:val="en-US"/>
              </w:rPr>
              <m:t>ij</m:t>
            </m:r>
          </m:sub>
        </m:sSub>
        <m:r>
          <m:rPr>
            <m:sty m:val="p"/>
          </m:rPr>
          <w:rPr>
            <w:rFonts w:ascii="Cambria Math" w:hAnsi="Cambria Math"/>
            <w:noProof/>
            <w:lang w:val="en-US"/>
          </w:rPr>
          <m:t>-0.564</m:t>
        </m:r>
        <m:d>
          <m:dPr>
            <m:ctrlPr>
              <w:rPr>
                <w:rFonts w:ascii="Cambria Math" w:hAnsi="Cambria Math"/>
                <w:i/>
                <w:noProof/>
                <w:lang w:val="en-US"/>
              </w:rPr>
            </m:ctrlPr>
          </m:dPr>
          <m:e>
            <m:r>
              <w:rPr>
                <w:rFonts w:ascii="Cambria Math" w:hAnsi="Cambria Math"/>
                <w:noProof/>
                <w:lang w:val="en-US"/>
              </w:rPr>
              <m:t>0.238</m:t>
            </m:r>
          </m:e>
        </m:d>
        <m:sSub>
          <m:sSubPr>
            <m:ctrlPr>
              <w:rPr>
                <w:rFonts w:ascii="Cambria Math" w:hAnsi="Cambria Math"/>
                <w:i/>
                <w:noProof/>
                <w:lang w:val="en-US"/>
              </w:rPr>
            </m:ctrlPr>
          </m:sSubPr>
          <m:e>
            <m:r>
              <w:rPr>
                <w:rFonts w:ascii="Cambria Math" w:hAnsi="Cambria Math"/>
                <w:noProof/>
                <w:lang w:val="en-US"/>
              </w:rPr>
              <m:t>KH</m:t>
            </m:r>
          </m:e>
          <m:sub>
            <m:r>
              <w:rPr>
                <w:rFonts w:ascii="Cambria Math" w:hAnsi="Cambria Math"/>
                <w:noProof/>
                <w:lang w:val="en-US"/>
              </w:rPr>
              <m:t>ij</m:t>
            </m:r>
          </m:sub>
        </m:sSub>
        <m:r>
          <w:rPr>
            <w:rFonts w:ascii="Cambria Math" w:hAnsi="Cambria Math"/>
            <w:noProof/>
            <w:lang w:val="en-US"/>
          </w:rPr>
          <m:t>+</m:t>
        </m:r>
        <m:r>
          <m:rPr>
            <m:sty m:val="p"/>
          </m:rPr>
          <w:rPr>
            <w:rFonts w:ascii="Cambria Math" w:hAnsi="Cambria Math"/>
            <w:noProof/>
            <w:lang w:val="en-US"/>
          </w:rPr>
          <m:t>4.958</m:t>
        </m:r>
        <m:d>
          <m:dPr>
            <m:ctrlPr>
              <w:rPr>
                <w:rFonts w:ascii="Cambria Math" w:hAnsi="Cambria Math"/>
                <w:i/>
                <w:noProof/>
                <w:lang w:val="en-US"/>
              </w:rPr>
            </m:ctrlPr>
          </m:dPr>
          <m:e>
            <m:r>
              <w:rPr>
                <w:rFonts w:ascii="Cambria Math" w:hAnsi="Cambria Math"/>
                <w:noProof/>
                <w:lang w:val="en-US"/>
              </w:rPr>
              <m:t>0.985</m:t>
            </m:r>
          </m:e>
        </m:d>
        <m:sSub>
          <m:sSubPr>
            <m:ctrlPr>
              <w:rPr>
                <w:rFonts w:ascii="Cambria Math" w:hAnsi="Cambria Math"/>
                <w:i/>
                <w:noProof/>
                <w:lang w:val="en-US"/>
              </w:rPr>
            </m:ctrlPr>
          </m:sSubPr>
          <m:e>
            <m:r>
              <w:rPr>
                <w:rFonts w:ascii="Cambria Math" w:hAnsi="Cambria Math"/>
                <w:noProof/>
                <w:lang w:val="en-US"/>
              </w:rPr>
              <m:t>CMS</m:t>
            </m:r>
          </m:e>
          <m:sub>
            <m:r>
              <w:rPr>
                <w:rFonts w:ascii="Cambria Math" w:hAnsi="Cambria Math"/>
                <w:noProof/>
                <w:lang w:val="en-US"/>
              </w:rPr>
              <m:t>ij</m:t>
            </m:r>
          </m:sub>
        </m:sSub>
        <m:r>
          <m:rPr>
            <m:sty m:val="p"/>
          </m:rPr>
          <w:rPr>
            <w:rFonts w:ascii="Cambria Math" w:hAnsi="Cambria Math"/>
            <w:noProof/>
            <w:lang w:val="en-US"/>
          </w:rPr>
          <m:t>-2.848</m:t>
        </m:r>
        <m:d>
          <m:dPr>
            <m:ctrlPr>
              <w:rPr>
                <w:rFonts w:ascii="Cambria Math" w:hAnsi="Cambria Math"/>
                <w:i/>
                <w:noProof/>
                <w:lang w:val="en-US"/>
              </w:rPr>
            </m:ctrlPr>
          </m:dPr>
          <m:e>
            <m:r>
              <w:rPr>
                <w:rFonts w:ascii="Cambria Math" w:hAnsi="Cambria Math"/>
                <w:noProof/>
                <w:lang w:val="en-US"/>
              </w:rPr>
              <m:t>0.734</m:t>
            </m:r>
          </m:e>
        </m:d>
        <m:sSub>
          <m:sSubPr>
            <m:ctrlPr>
              <w:rPr>
                <w:rFonts w:ascii="Cambria Math" w:hAnsi="Cambria Math"/>
                <w:i/>
                <w:noProof/>
                <w:lang w:val="en-US"/>
              </w:rPr>
            </m:ctrlPr>
          </m:sSubPr>
          <m:e>
            <m:r>
              <w:rPr>
                <w:rFonts w:ascii="Cambria Math" w:hAnsi="Cambria Math"/>
                <w:noProof/>
                <w:lang w:val="en-US"/>
              </w:rPr>
              <m:t>SSR</m:t>
            </m:r>
          </m:e>
          <m:sub>
            <m:r>
              <w:rPr>
                <w:rFonts w:ascii="Cambria Math" w:hAnsi="Cambria Math"/>
                <w:noProof/>
                <w:lang w:val="en-US"/>
              </w:rPr>
              <m:t>ij</m:t>
            </m:r>
          </m:sub>
        </m:sSub>
        <m:r>
          <m:rPr>
            <m:sty m:val="p"/>
          </m:rPr>
          <w:rPr>
            <w:rFonts w:ascii="Cambria Math" w:hAnsi="Cambria Math"/>
            <w:noProof/>
            <w:lang w:val="en-US"/>
          </w:rPr>
          <m:t>-0.220</m:t>
        </m:r>
        <m:d>
          <m:dPr>
            <m:ctrlPr>
              <w:rPr>
                <w:rFonts w:ascii="Cambria Math" w:hAnsi="Cambria Math"/>
                <w:i/>
                <w:noProof/>
                <w:lang w:val="en-US"/>
              </w:rPr>
            </m:ctrlPr>
          </m:dPr>
          <m:e>
            <m:r>
              <w:rPr>
                <w:rFonts w:ascii="Cambria Math" w:hAnsi="Cambria Math"/>
                <w:noProof/>
                <w:lang w:val="en-US"/>
              </w:rPr>
              <m:t>0.9531</m:t>
            </m:r>
          </m:e>
        </m:d>
        <m:sSub>
          <m:sSubPr>
            <m:ctrlPr>
              <w:rPr>
                <w:rFonts w:ascii="Cambria Math" w:hAnsi="Cambria Math"/>
                <w:i/>
                <w:noProof/>
                <w:lang w:val="en-US"/>
              </w:rPr>
            </m:ctrlPr>
          </m:sSubPr>
          <m:e>
            <m:r>
              <w:rPr>
                <w:rFonts w:ascii="Cambria Math" w:hAnsi="Cambria Math"/>
                <w:noProof/>
                <w:lang w:val="en-US"/>
              </w:rPr>
              <m:t>KTR</m:t>
            </m:r>
          </m:e>
          <m:sub>
            <m:r>
              <w:rPr>
                <w:rFonts w:ascii="Cambria Math" w:hAnsi="Cambria Math"/>
                <w:noProof/>
                <w:lang w:val="en-US"/>
              </w:rPr>
              <m:t>ij</m:t>
            </m:r>
          </m:sub>
        </m:sSub>
        <m:r>
          <m:rPr>
            <m:sty m:val="p"/>
          </m:rPr>
          <w:rPr>
            <w:rFonts w:ascii="Cambria Math" w:hAnsi="Cambria Math"/>
            <w:noProof/>
            <w:lang w:val="en-US"/>
          </w:rPr>
          <m:t>-2.243</m:t>
        </m:r>
        <m:d>
          <m:dPr>
            <m:ctrlPr>
              <w:rPr>
                <w:rFonts w:ascii="Cambria Math" w:hAnsi="Cambria Math"/>
                <w:i/>
                <w:noProof/>
                <w:lang w:val="en-US"/>
              </w:rPr>
            </m:ctrlPr>
          </m:dPr>
          <m:e>
            <m:r>
              <w:rPr>
                <w:rFonts w:ascii="Cambria Math" w:hAnsi="Cambria Math"/>
                <w:noProof/>
                <w:lang w:val="en-US"/>
              </w:rPr>
              <m:t>0.896</m:t>
            </m:r>
          </m:e>
        </m:d>
        <m:sSub>
          <m:sSubPr>
            <m:ctrlPr>
              <w:rPr>
                <w:rFonts w:ascii="Cambria Math" w:hAnsi="Cambria Math"/>
                <w:i/>
                <w:noProof/>
                <w:lang w:val="en-US"/>
              </w:rPr>
            </m:ctrlPr>
          </m:sSubPr>
          <m:e>
            <m:r>
              <w:rPr>
                <w:rFonts w:ascii="Cambria Math" w:hAnsi="Cambria Math"/>
                <w:noProof/>
                <w:lang w:val="en-US"/>
              </w:rPr>
              <m:t>SDH</m:t>
            </m:r>
          </m:e>
          <m:sub>
            <m:r>
              <w:rPr>
                <w:rFonts w:ascii="Cambria Math" w:hAnsi="Cambria Math"/>
                <w:noProof/>
                <w:lang w:val="en-US"/>
              </w:rPr>
              <m:t>ij</m:t>
            </m:r>
          </m:sub>
        </m:sSub>
        <m:r>
          <m:rPr>
            <m:sty m:val="p"/>
          </m:rPr>
          <w:rPr>
            <w:rFonts w:ascii="Cambria Math" w:hAnsi="Cambria Math"/>
            <w:noProof/>
            <w:lang w:val="en-US"/>
          </w:rPr>
          <m:t>+25.602</m:t>
        </m:r>
        <m:d>
          <m:dPr>
            <m:ctrlPr>
              <w:rPr>
                <w:rFonts w:ascii="Cambria Math" w:hAnsi="Cambria Math"/>
                <w:i/>
                <w:noProof/>
                <w:lang w:val="en-US"/>
              </w:rPr>
            </m:ctrlPr>
          </m:dPr>
          <m:e>
            <m:r>
              <w:rPr>
                <w:rFonts w:ascii="Cambria Math" w:hAnsi="Cambria Math"/>
                <w:noProof/>
                <w:lang w:val="en-US"/>
              </w:rPr>
              <m:t>5.986</m:t>
            </m:r>
          </m:e>
        </m:d>
        <m:sSub>
          <m:sSubPr>
            <m:ctrlPr>
              <w:rPr>
                <w:rFonts w:ascii="Cambria Math" w:hAnsi="Cambria Math"/>
                <w:i/>
                <w:noProof/>
                <w:lang w:val="en-US"/>
              </w:rPr>
            </m:ctrlPr>
          </m:sSubPr>
          <m:e>
            <m:r>
              <w:rPr>
                <w:rFonts w:ascii="Cambria Math" w:hAnsi="Cambria Math"/>
                <w:noProof/>
                <w:lang w:val="en-US"/>
              </w:rPr>
              <m:t>KS</m:t>
            </m:r>
          </m:e>
          <m:sub>
            <m:r>
              <w:rPr>
                <w:rFonts w:ascii="Cambria Math" w:hAnsi="Cambria Math"/>
                <w:noProof/>
                <w:lang w:val="en-US"/>
              </w:rPr>
              <m:t>ij</m:t>
            </m:r>
          </m:sub>
        </m:sSub>
        <m:r>
          <m:rPr>
            <m:sty m:val="p"/>
          </m:rPr>
          <w:rPr>
            <w:rFonts w:ascii="Cambria Math" w:hAnsi="Cambria Math"/>
            <w:noProof/>
            <w:lang w:val="en-US"/>
          </w:rPr>
          <m:t>-2.824</m:t>
        </m:r>
        <m:d>
          <m:dPr>
            <m:ctrlPr>
              <w:rPr>
                <w:rFonts w:ascii="Cambria Math" w:hAnsi="Cambria Math"/>
                <w:i/>
                <w:noProof/>
                <w:lang w:val="en-US"/>
              </w:rPr>
            </m:ctrlPr>
          </m:dPr>
          <m:e>
            <m:r>
              <w:rPr>
                <w:rFonts w:ascii="Cambria Math" w:hAnsi="Cambria Math"/>
                <w:noProof/>
                <w:lang w:val="en-US"/>
              </w:rPr>
              <m:t>3.855</m:t>
            </m:r>
          </m:e>
        </m:d>
        <m:sSub>
          <m:sSubPr>
            <m:ctrlPr>
              <w:rPr>
                <w:rFonts w:ascii="Cambria Math" w:hAnsi="Cambria Math"/>
                <w:i/>
                <w:noProof/>
                <w:lang w:val="en-US"/>
              </w:rPr>
            </m:ctrlPr>
          </m:sSubPr>
          <m:e>
            <m:r>
              <w:rPr>
                <w:rFonts w:ascii="Cambria Math" w:hAnsi="Cambria Math"/>
                <w:noProof/>
                <w:lang w:val="en-US"/>
              </w:rPr>
              <m:t>JRK</m:t>
            </m:r>
          </m:e>
          <m:sub>
            <m:r>
              <w:rPr>
                <w:rFonts w:ascii="Cambria Math" w:hAnsi="Cambria Math"/>
                <w:noProof/>
                <w:lang w:val="en-US"/>
              </w:rPr>
              <m:t>ij</m:t>
            </m:r>
          </m:sub>
        </m:sSub>
        <m:r>
          <m:rPr>
            <m:sty m:val="p"/>
          </m:rPr>
          <w:rPr>
            <w:rFonts w:ascii="Cambria Math" w:hAnsi="Cambria Math"/>
            <w:noProof/>
            <w:lang w:val="en-US"/>
          </w:rPr>
          <m:t>+23.9</m:t>
        </m:r>
        <m:r>
          <w:rPr>
            <w:rFonts w:ascii="Cambria Math" w:hAnsi="Cambria Math"/>
            <w:noProof/>
            <w:lang w:val="en-US"/>
          </w:rPr>
          <m:t>16</m:t>
        </m:r>
        <m:d>
          <m:dPr>
            <m:ctrlPr>
              <w:rPr>
                <w:rFonts w:ascii="Cambria Math" w:hAnsi="Cambria Math"/>
                <w:i/>
                <w:noProof/>
                <w:lang w:val="en-US"/>
              </w:rPr>
            </m:ctrlPr>
          </m:dPr>
          <m:e>
            <m:r>
              <w:rPr>
                <w:rFonts w:ascii="Cambria Math" w:hAnsi="Cambria Math"/>
                <w:noProof/>
                <w:lang w:val="en-US"/>
              </w:rPr>
              <m:t>2.353</m:t>
            </m:r>
          </m:e>
        </m:d>
        <m:sSub>
          <m:sSubPr>
            <m:ctrlPr>
              <w:rPr>
                <w:rFonts w:ascii="Cambria Math" w:hAnsi="Cambria Math"/>
                <w:i/>
                <w:noProof/>
                <w:lang w:val="en-US"/>
              </w:rPr>
            </m:ctrlPr>
          </m:sSubPr>
          <m:e>
            <m:r>
              <w:rPr>
                <w:rFonts w:ascii="Cambria Math" w:hAnsi="Cambria Math"/>
                <w:noProof/>
                <w:lang w:val="en-US"/>
              </w:rPr>
              <m:t>LKN</m:t>
            </m:r>
          </m:e>
          <m:sub>
            <m:r>
              <w:rPr>
                <w:rFonts w:ascii="Cambria Math" w:hAnsi="Cambria Math"/>
                <w:noProof/>
                <w:lang w:val="en-US"/>
              </w:rPr>
              <m:t>ij</m:t>
            </m:r>
          </m:sub>
        </m:sSub>
      </m:oMath>
      <w:r w:rsidR="00A33734" w:rsidRPr="00A33734">
        <w:rPr>
          <w:noProof/>
          <w:lang w:val="en-US"/>
        </w:rPr>
        <w:tab/>
      </w:r>
      <w:r w:rsidR="00A33734" w:rsidRPr="00A33734">
        <w:rPr>
          <w:noProof/>
          <w:lang w:val="en-US"/>
        </w:rPr>
        <w:tab/>
      </w:r>
      <w:r w:rsidR="00D90D9C">
        <w:rPr>
          <w:noProof/>
          <w:lang w:val="en-US"/>
        </w:rPr>
        <w:tab/>
      </w:r>
      <w:r w:rsidR="00A33734" w:rsidRPr="00A33734">
        <w:rPr>
          <w:noProof/>
          <w:lang w:val="en-US"/>
        </w:rPr>
        <w:t>(3)</w:t>
      </w:r>
    </w:p>
    <w:p w14:paraId="707E6960" w14:textId="21DD03A9" w:rsidR="00A33734" w:rsidRPr="008D6A9F" w:rsidRDefault="009D595D" w:rsidP="00F77D5B">
      <w:pPr>
        <w:spacing w:before="240"/>
        <w:jc w:val="both"/>
        <w:rPr>
          <w:iCs/>
          <w:noProof/>
          <w:lang w:val="en-US"/>
        </w:rPr>
      </w:pPr>
      <w:r>
        <w:rPr>
          <w:iCs/>
          <w:noProof/>
          <w:lang w:val="en-US"/>
        </w:rPr>
        <w:t xml:space="preserve">There were only </w:t>
      </w:r>
      <w:r w:rsidR="00A33734" w:rsidRPr="008D6A9F">
        <w:rPr>
          <w:iCs/>
          <w:noProof/>
          <w:lang w:val="en-US"/>
        </w:rPr>
        <w:t>two statistically significant</w:t>
      </w:r>
      <w:r>
        <w:rPr>
          <w:iCs/>
          <w:noProof/>
          <w:lang w:val="en-US"/>
        </w:rPr>
        <w:t xml:space="preserve"> variables from the school level</w:t>
      </w:r>
      <w:r w:rsidR="00A33734" w:rsidRPr="008D6A9F">
        <w:rPr>
          <w:iCs/>
          <w:noProof/>
          <w:lang w:val="en-US"/>
        </w:rPr>
        <w:t xml:space="preserve">, namely </w:t>
      </w:r>
      <w:r w:rsidR="001169E4">
        <w:rPr>
          <w:iCs/>
          <w:noProof/>
          <w:lang w:val="en-US"/>
        </w:rPr>
        <w:t>SC</w:t>
      </w:r>
      <w:r w:rsidR="00A33734" w:rsidRPr="008D6A9F">
        <w:rPr>
          <w:iCs/>
          <w:noProof/>
          <w:lang w:val="en-US"/>
        </w:rPr>
        <w:t xml:space="preserve"> and </w:t>
      </w:r>
      <w:r w:rsidR="001169E4">
        <w:rPr>
          <w:iCs/>
          <w:noProof/>
          <w:lang w:val="en-US"/>
        </w:rPr>
        <w:t>SL</w:t>
      </w:r>
      <w:r w:rsidR="00A33734" w:rsidRPr="008D6A9F">
        <w:rPr>
          <w:iCs/>
          <w:noProof/>
          <w:lang w:val="en-US"/>
        </w:rPr>
        <w:t>. In other words</w:t>
      </w:r>
      <w:r>
        <w:rPr>
          <w:iCs/>
          <w:noProof/>
          <w:lang w:val="en-US"/>
        </w:rPr>
        <w:t>,</w:t>
      </w:r>
      <w:r w:rsidR="00A33734" w:rsidRPr="008D6A9F">
        <w:rPr>
          <w:iCs/>
          <w:noProof/>
          <w:lang w:val="en-US"/>
        </w:rPr>
        <w:t xml:space="preserve"> there are differences between public and private school students</w:t>
      </w:r>
      <w:r>
        <w:rPr>
          <w:iCs/>
          <w:noProof/>
          <w:lang w:val="en-US"/>
        </w:rPr>
        <w:t xml:space="preserve"> in the math scores</w:t>
      </w:r>
      <w:r w:rsidR="00A33734" w:rsidRPr="008D6A9F">
        <w:rPr>
          <w:iCs/>
          <w:noProof/>
          <w:lang w:val="en-US"/>
        </w:rPr>
        <w:t xml:space="preserve">. </w:t>
      </w:r>
      <w:r>
        <w:rPr>
          <w:iCs/>
          <w:noProof/>
          <w:lang w:val="en-US"/>
        </w:rPr>
        <w:t>The public school s</w:t>
      </w:r>
      <w:r w:rsidR="00A33734" w:rsidRPr="008D6A9F">
        <w:rPr>
          <w:iCs/>
          <w:noProof/>
          <w:lang w:val="en-US"/>
        </w:rPr>
        <w:t xml:space="preserve">tudents have higher scores than </w:t>
      </w:r>
      <w:r>
        <w:rPr>
          <w:iCs/>
          <w:noProof/>
          <w:lang w:val="en-US"/>
        </w:rPr>
        <w:t xml:space="preserve">the students from </w:t>
      </w:r>
      <w:r w:rsidR="00A33734" w:rsidRPr="008D6A9F">
        <w:rPr>
          <w:iCs/>
          <w:noProof/>
          <w:lang w:val="en-US"/>
        </w:rPr>
        <w:t>private school. Then</w:t>
      </w:r>
      <w:r>
        <w:rPr>
          <w:iCs/>
          <w:noProof/>
          <w:lang w:val="en-US"/>
        </w:rPr>
        <w:t>,</w:t>
      </w:r>
      <w:r w:rsidR="00A33734" w:rsidRPr="008D6A9F">
        <w:rPr>
          <w:iCs/>
          <w:noProof/>
          <w:lang w:val="en-US"/>
        </w:rPr>
        <w:t xml:space="preserve"> students who are in rural schools will get lower scores</w:t>
      </w:r>
      <w:r>
        <w:rPr>
          <w:iCs/>
          <w:noProof/>
          <w:lang w:val="en-US"/>
        </w:rPr>
        <w:t xml:space="preserve"> </w:t>
      </w:r>
      <w:r w:rsidRPr="008D6A9F">
        <w:rPr>
          <w:iCs/>
          <w:noProof/>
          <w:lang w:val="en-US"/>
        </w:rPr>
        <w:t>related to the school environment</w:t>
      </w:r>
      <w:r w:rsidR="00A33734" w:rsidRPr="008D6A9F">
        <w:rPr>
          <w:iCs/>
          <w:noProof/>
          <w:lang w:val="en-US"/>
        </w:rPr>
        <w:t xml:space="preserve">. While the </w:t>
      </w:r>
      <w:r w:rsidR="001169E4">
        <w:rPr>
          <w:iCs/>
          <w:noProof/>
          <w:lang w:val="en-US"/>
        </w:rPr>
        <w:t>DTC</w:t>
      </w:r>
      <w:r w:rsidR="00A33734" w:rsidRPr="008D6A9F">
        <w:rPr>
          <w:iCs/>
          <w:noProof/>
          <w:lang w:val="en-US"/>
        </w:rPr>
        <w:t xml:space="preserve"> variable is not significant, </w:t>
      </w:r>
      <w:r>
        <w:rPr>
          <w:iCs/>
          <w:noProof/>
          <w:lang w:val="en-US"/>
        </w:rPr>
        <w:t>this</w:t>
      </w:r>
      <w:r w:rsidR="00A33734" w:rsidRPr="008D6A9F">
        <w:rPr>
          <w:iCs/>
          <w:noProof/>
          <w:lang w:val="en-US"/>
        </w:rPr>
        <w:t xml:space="preserve"> means that consideration of the </w:t>
      </w:r>
      <w:r>
        <w:rPr>
          <w:iCs/>
          <w:noProof/>
          <w:lang w:val="en-US"/>
        </w:rPr>
        <w:t xml:space="preserve">school’s </w:t>
      </w:r>
      <w:r w:rsidR="00A33734" w:rsidRPr="008D6A9F">
        <w:rPr>
          <w:iCs/>
          <w:noProof/>
          <w:lang w:val="en-US"/>
        </w:rPr>
        <w:t xml:space="preserve">distance </w:t>
      </w:r>
      <w:r>
        <w:rPr>
          <w:iCs/>
          <w:noProof/>
          <w:lang w:val="en-US"/>
        </w:rPr>
        <w:t>from the</w:t>
      </w:r>
      <w:r w:rsidR="00A33734" w:rsidRPr="008D6A9F">
        <w:rPr>
          <w:iCs/>
          <w:noProof/>
          <w:lang w:val="en-US"/>
        </w:rPr>
        <w:t xml:space="preserve"> student</w:t>
      </w:r>
      <w:r>
        <w:rPr>
          <w:iCs/>
          <w:noProof/>
          <w:lang w:val="en-US"/>
        </w:rPr>
        <w:t xml:space="preserve"> </w:t>
      </w:r>
      <w:r w:rsidR="00A33734" w:rsidRPr="008D6A9F">
        <w:rPr>
          <w:iCs/>
          <w:noProof/>
          <w:lang w:val="en-US"/>
        </w:rPr>
        <w:t xml:space="preserve">residence </w:t>
      </w:r>
      <w:r>
        <w:rPr>
          <w:iCs/>
          <w:noProof/>
          <w:lang w:val="en-US"/>
        </w:rPr>
        <w:t xml:space="preserve">when new students are admitted does </w:t>
      </w:r>
      <w:r w:rsidR="00A33734" w:rsidRPr="008D6A9F">
        <w:rPr>
          <w:iCs/>
          <w:noProof/>
          <w:lang w:val="en-US"/>
        </w:rPr>
        <w:t>not affect the mathematics scores at the school.</w:t>
      </w:r>
    </w:p>
    <w:p w14:paraId="3C9D69CF" w14:textId="78251814" w:rsidR="00A33734" w:rsidRPr="008D6A9F" w:rsidRDefault="00A33734" w:rsidP="00A33734">
      <w:pPr>
        <w:pStyle w:val="BodytextIndented"/>
        <w:rPr>
          <w:noProof/>
        </w:rPr>
      </w:pPr>
      <w:r w:rsidRPr="008D6A9F">
        <w:rPr>
          <w:noProof/>
        </w:rPr>
        <w:t xml:space="preserve">The addition of these school-level predictor variables caused </w:t>
      </w:r>
      <w:r w:rsidR="009D595D">
        <w:rPr>
          <w:noProof/>
        </w:rPr>
        <w:t xml:space="preserve">variance </w:t>
      </w:r>
      <w:r w:rsidRPr="008D6A9F">
        <w:rPr>
          <w:noProof/>
        </w:rPr>
        <w:t>between school and within-school to decrease from 3</w:t>
      </w:r>
      <w:r w:rsidR="000273B1">
        <w:rPr>
          <w:noProof/>
        </w:rPr>
        <w:t>,</w:t>
      </w:r>
      <w:r w:rsidRPr="008D6A9F">
        <w:rPr>
          <w:noProof/>
        </w:rPr>
        <w:t>495 to 2</w:t>
      </w:r>
      <w:r w:rsidR="000273B1">
        <w:rPr>
          <w:noProof/>
        </w:rPr>
        <w:t>,</w:t>
      </w:r>
      <w:r w:rsidRPr="008D6A9F">
        <w:rPr>
          <w:noProof/>
        </w:rPr>
        <w:t>573</w:t>
      </w:r>
      <w:r w:rsidR="009D595D">
        <w:rPr>
          <w:noProof/>
        </w:rPr>
        <w:t xml:space="preserve">, </w:t>
      </w:r>
      <w:r w:rsidR="009D595D" w:rsidRPr="008D6A9F">
        <w:rPr>
          <w:noProof/>
        </w:rPr>
        <w:t>respectively</w:t>
      </w:r>
      <w:r w:rsidRPr="008D6A9F">
        <w:rPr>
          <w:noProof/>
        </w:rPr>
        <w:t>. This reduction mean</w:t>
      </w:r>
      <w:r w:rsidR="009D595D">
        <w:rPr>
          <w:noProof/>
        </w:rPr>
        <w:t>s</w:t>
      </w:r>
      <w:r w:rsidRPr="008D6A9F">
        <w:rPr>
          <w:noProof/>
        </w:rPr>
        <w:t xml:space="preserve"> that the variance of students' mathematics scores was explained by the addition of school-level predictor variables. About 26.4% of the variance between schools was explained by the addition of student level predictor variables in this model.</w:t>
      </w:r>
    </w:p>
    <w:p w14:paraId="7DF0ED42" w14:textId="77777777" w:rsidR="00A33734" w:rsidRPr="008D6A9F" w:rsidRDefault="00A33734" w:rsidP="00A33734">
      <w:pPr>
        <w:pStyle w:val="Judul2"/>
        <w:rPr>
          <w:noProof/>
          <w:lang w:val="en-US"/>
        </w:rPr>
      </w:pPr>
      <w:r w:rsidRPr="008D6A9F">
        <w:rPr>
          <w:noProof/>
          <w:lang w:val="en-US"/>
        </w:rPr>
        <w:t>Interpretation of the Final Model</w:t>
      </w:r>
    </w:p>
    <w:p w14:paraId="1ECAEC9F" w14:textId="5CF5D31C" w:rsidR="00A33734" w:rsidRPr="008D6A9F" w:rsidRDefault="004545EE" w:rsidP="00F77D5B">
      <w:pPr>
        <w:jc w:val="both"/>
        <w:rPr>
          <w:noProof/>
          <w:lang w:val="en-US"/>
        </w:rPr>
      </w:pPr>
      <w:r>
        <w:rPr>
          <w:noProof/>
          <w:lang w:val="en-US"/>
        </w:rPr>
        <w:t xml:space="preserve">Among three models which </w:t>
      </w:r>
      <w:r w:rsidR="009D595D">
        <w:rPr>
          <w:noProof/>
          <w:lang w:val="en-US"/>
        </w:rPr>
        <w:t>have been</w:t>
      </w:r>
      <w:r>
        <w:rPr>
          <w:noProof/>
          <w:lang w:val="en-US"/>
        </w:rPr>
        <w:t xml:space="preserve"> an</w:t>
      </w:r>
      <w:r w:rsidR="009D595D">
        <w:rPr>
          <w:noProof/>
          <w:lang w:val="en-US"/>
        </w:rPr>
        <w:t>al</w:t>
      </w:r>
      <w:r>
        <w:rPr>
          <w:noProof/>
          <w:lang w:val="en-US"/>
        </w:rPr>
        <w:t>yzed, the final model was the best model to predict students’ mathematics score</w:t>
      </w:r>
      <w:r w:rsidR="00DA205B">
        <w:rPr>
          <w:noProof/>
          <w:lang w:val="en-US"/>
        </w:rPr>
        <w:t xml:space="preserve"> </w:t>
      </w:r>
      <w:r w:rsidR="00DA205B" w:rsidRPr="00286788">
        <w:rPr>
          <w:noProof/>
          <w:lang w:val="en-US"/>
        </w:rPr>
        <w:t xml:space="preserve">(AIC = </w:t>
      </w:r>
      <w:r w:rsidR="00286788" w:rsidRPr="00286788">
        <w:rPr>
          <w:noProof/>
          <w:lang w:val="en-US"/>
        </w:rPr>
        <w:t>100,040</w:t>
      </w:r>
      <w:r w:rsidR="00286788">
        <w:rPr>
          <w:noProof/>
          <w:lang w:val="en-US"/>
        </w:rPr>
        <w:t xml:space="preserve"> </w:t>
      </w:r>
      <w:r w:rsidR="00DA205B" w:rsidRPr="00286788">
        <w:rPr>
          <w:noProof/>
          <w:lang w:val="en-US"/>
        </w:rPr>
        <w:t xml:space="preserve">and BIC = </w:t>
      </w:r>
      <w:r w:rsidR="00286788" w:rsidRPr="00286788">
        <w:rPr>
          <w:iCs/>
          <w:noProof/>
          <w:lang w:val="en-US"/>
        </w:rPr>
        <w:t>100,154</w:t>
      </w:r>
      <w:r w:rsidR="00DA205B" w:rsidRPr="00286788">
        <w:rPr>
          <w:noProof/>
          <w:lang w:val="en-US"/>
        </w:rPr>
        <w:t>)</w:t>
      </w:r>
      <w:r w:rsidRPr="00286788">
        <w:rPr>
          <w:noProof/>
          <w:lang w:val="en-US"/>
        </w:rPr>
        <w:t>.</w:t>
      </w:r>
      <w:r>
        <w:rPr>
          <w:noProof/>
          <w:lang w:val="en-US"/>
        </w:rPr>
        <w:t xml:space="preserve"> </w:t>
      </w:r>
      <w:r w:rsidR="00A33734" w:rsidRPr="008D6A9F">
        <w:rPr>
          <w:noProof/>
          <w:lang w:val="en-US"/>
        </w:rPr>
        <w:t>From the addition of predictors at the student and school level</w:t>
      </w:r>
      <w:r w:rsidR="00AB2159">
        <w:rPr>
          <w:noProof/>
          <w:lang w:val="en-US"/>
        </w:rPr>
        <w:t>s</w:t>
      </w:r>
      <w:r w:rsidR="00A33734" w:rsidRPr="008D6A9F">
        <w:rPr>
          <w:noProof/>
          <w:lang w:val="en-US"/>
        </w:rPr>
        <w:t>, the final model in multilevel modeling explains about 17% of the variance in mathematics scores with a change in total variance of 6</w:t>
      </w:r>
      <w:r w:rsidR="000273B1">
        <w:rPr>
          <w:noProof/>
          <w:lang w:val="en-US"/>
        </w:rPr>
        <w:t>,</w:t>
      </w:r>
      <w:r w:rsidR="00A33734" w:rsidRPr="008D6A9F">
        <w:rPr>
          <w:noProof/>
          <w:lang w:val="en-US"/>
        </w:rPr>
        <w:t>184 reduced to 5</w:t>
      </w:r>
      <w:r w:rsidR="000273B1">
        <w:rPr>
          <w:noProof/>
          <w:lang w:val="en-US"/>
        </w:rPr>
        <w:t>,</w:t>
      </w:r>
      <w:r w:rsidR="00A33734" w:rsidRPr="008D6A9F">
        <w:rPr>
          <w:noProof/>
          <w:lang w:val="en-US"/>
        </w:rPr>
        <w:t>126. This model explains 28.5%</w:t>
      </w:r>
      <w:r w:rsidR="00AB2159">
        <w:rPr>
          <w:noProof/>
          <w:lang w:val="en-US"/>
        </w:rPr>
        <w:t xml:space="preserve"> difference in school level</w:t>
      </w:r>
      <w:r w:rsidR="00A33734" w:rsidRPr="008D6A9F">
        <w:rPr>
          <w:noProof/>
          <w:lang w:val="en-US"/>
        </w:rPr>
        <w:t xml:space="preserve"> and 1.2% difference in student level. A summary of the results of the analysis can be seen in </w:t>
      </w:r>
      <w:r w:rsidR="00411B66">
        <w:rPr>
          <w:noProof/>
          <w:lang w:val="en-US"/>
        </w:rPr>
        <w:t>T</w:t>
      </w:r>
      <w:r w:rsidR="00A33734" w:rsidRPr="008D6A9F">
        <w:rPr>
          <w:noProof/>
          <w:lang w:val="en-US"/>
        </w:rPr>
        <w:t xml:space="preserve">able </w:t>
      </w:r>
      <w:r w:rsidR="007E6CB9">
        <w:rPr>
          <w:noProof/>
          <w:lang w:val="en-US"/>
        </w:rPr>
        <w:t>2</w:t>
      </w:r>
      <w:r w:rsidR="00A33734" w:rsidRPr="008D6A9F">
        <w:rPr>
          <w:noProof/>
          <w:lang w:val="en-US"/>
        </w:rPr>
        <w:t>.</w:t>
      </w:r>
    </w:p>
    <w:p w14:paraId="69E45C1D" w14:textId="0EC29454" w:rsidR="00ED453A" w:rsidRDefault="00ED453A" w:rsidP="00ED453A">
      <w:pPr>
        <w:pStyle w:val="BodytextIndented"/>
        <w:rPr>
          <w:noProof/>
        </w:rPr>
      </w:pPr>
      <w:r w:rsidRPr="008D6A9F">
        <w:rPr>
          <w:noProof/>
        </w:rPr>
        <w:t>This final model shows tha</w:t>
      </w:r>
      <w:r w:rsidR="00110A1E">
        <w:rPr>
          <w:noProof/>
        </w:rPr>
        <w:t>t</w:t>
      </w:r>
      <w:r w:rsidRPr="008D6A9F">
        <w:rPr>
          <w:noProof/>
        </w:rPr>
        <w:t xml:space="preserve"> there are nine significant</w:t>
      </w:r>
      <w:r w:rsidR="00110A1E">
        <w:rPr>
          <w:noProof/>
        </w:rPr>
        <w:t xml:space="preserve"> variables</w:t>
      </w:r>
      <w:r w:rsidRPr="008D6A9F">
        <w:rPr>
          <w:noProof/>
        </w:rPr>
        <w:t xml:space="preserve">, namely seven from the student level and two from the school level. At the student level </w:t>
      </w:r>
      <w:r w:rsidR="00FE46CE">
        <w:rPr>
          <w:noProof/>
        </w:rPr>
        <w:t>we can interpret</w:t>
      </w:r>
      <w:r w:rsidRPr="008D6A9F">
        <w:rPr>
          <w:noProof/>
        </w:rPr>
        <w:t xml:space="preserve"> as those on </w:t>
      </w:r>
      <w:r w:rsidR="00FE46CE">
        <w:rPr>
          <w:noProof/>
        </w:rPr>
        <w:t>the previous model</w:t>
      </w:r>
      <w:r w:rsidRPr="008D6A9F">
        <w:rPr>
          <w:noProof/>
        </w:rPr>
        <w:t xml:space="preserve">. </w:t>
      </w:r>
      <w:r w:rsidR="00FE46CE">
        <w:rPr>
          <w:noProof/>
        </w:rPr>
        <w:t>T</w:t>
      </w:r>
      <w:r w:rsidR="00D84041">
        <w:rPr>
          <w:noProof/>
        </w:rPr>
        <w:t>he school level</w:t>
      </w:r>
      <w:r w:rsidR="00FE46CE">
        <w:rPr>
          <w:noProof/>
        </w:rPr>
        <w:t xml:space="preserve"> variables’</w:t>
      </w:r>
      <w:r w:rsidRPr="008D6A9F">
        <w:rPr>
          <w:noProof/>
        </w:rPr>
        <w:t xml:space="preserve"> influence is much stronger than at the student level. This can be seen in the coefficient of the school category and the school environment located. Thus the mathematics scores of students will be more influenced by the categories and school environment located compared to their </w:t>
      </w:r>
      <w:r w:rsidR="00D84041">
        <w:rPr>
          <w:noProof/>
        </w:rPr>
        <w:t xml:space="preserve">daily </w:t>
      </w:r>
      <w:r w:rsidRPr="008D6A9F">
        <w:rPr>
          <w:noProof/>
        </w:rPr>
        <w:t>personal feelings.</w:t>
      </w:r>
    </w:p>
    <w:p w14:paraId="324F3206" w14:textId="77777777" w:rsidR="00D90D9C" w:rsidRPr="008D6A9F" w:rsidRDefault="00D90D9C" w:rsidP="00D90D9C">
      <w:pPr>
        <w:pStyle w:val="Section"/>
        <w:rPr>
          <w:rFonts w:ascii="Times New Roman" w:hAnsi="Times New Roman"/>
          <w:bCs/>
          <w:noProof/>
          <w:sz w:val="24"/>
          <w:szCs w:val="24"/>
          <w:lang w:val="en-US" w:eastAsia="en-ID"/>
        </w:rPr>
      </w:pPr>
      <w:r w:rsidRPr="008D6A9F">
        <w:rPr>
          <w:rFonts w:ascii="Times New Roman" w:hAnsi="Times New Roman"/>
          <w:bCs/>
          <w:noProof/>
          <w:sz w:val="24"/>
          <w:szCs w:val="24"/>
          <w:lang w:val="en-US" w:eastAsia="en-ID"/>
        </w:rPr>
        <w:t>Discussion</w:t>
      </w:r>
    </w:p>
    <w:p w14:paraId="27ECF599" w14:textId="233EE7EC" w:rsidR="00CF6DB5" w:rsidRDefault="00D90D9C" w:rsidP="00D90D9C">
      <w:pPr>
        <w:pStyle w:val="BodytextIndented"/>
        <w:rPr>
          <w:noProof/>
        </w:rPr>
      </w:pPr>
      <w:r w:rsidRPr="008D6A9F">
        <w:rPr>
          <w:noProof/>
          <w:lang w:eastAsia="en-ID"/>
        </w:rPr>
        <w:lastRenderedPageBreak/>
        <w:t xml:space="preserve">From the results of the study to answer the question "how big is the variance on students' mathematics scores at between school and within-school levels?", </w:t>
      </w:r>
      <w:r>
        <w:rPr>
          <w:noProof/>
          <w:lang w:eastAsia="en-ID"/>
        </w:rPr>
        <w:t>aproximately</w:t>
      </w:r>
      <w:r w:rsidRPr="008D6A9F">
        <w:rPr>
          <w:noProof/>
          <w:lang w:eastAsia="en-ID"/>
        </w:rPr>
        <w:t xml:space="preserve"> 58.2% of the variance in mathematics scores is explained by differences in schools and by 41.8% is explained by differences in students within-school. From these findings it can be explained that</w:t>
      </w:r>
      <w:r>
        <w:rPr>
          <w:noProof/>
          <w:lang w:eastAsia="en-ID"/>
        </w:rPr>
        <w:t xml:space="preserve"> the</w:t>
      </w:r>
      <w:r w:rsidRPr="008D6A9F">
        <w:rPr>
          <w:noProof/>
          <w:lang w:eastAsia="en-ID"/>
        </w:rPr>
        <w:t xml:space="preserve"> </w:t>
      </w:r>
      <w:r>
        <w:rPr>
          <w:noProof/>
          <w:lang w:eastAsia="en-ID"/>
        </w:rPr>
        <w:t xml:space="preserve">Indonesian </w:t>
      </w:r>
      <w:r w:rsidRPr="008D6A9F">
        <w:rPr>
          <w:noProof/>
          <w:lang w:eastAsia="en-ID"/>
        </w:rPr>
        <w:t>student</w:t>
      </w:r>
      <w:r>
        <w:rPr>
          <w:noProof/>
          <w:lang w:eastAsia="en-ID"/>
        </w:rPr>
        <w:t>s’ mathematics</w:t>
      </w:r>
      <w:r w:rsidRPr="008D6A9F">
        <w:rPr>
          <w:noProof/>
          <w:lang w:eastAsia="en-ID"/>
        </w:rPr>
        <w:t xml:space="preserve"> achievement in PISA 2018 </w:t>
      </w:r>
      <w:r>
        <w:rPr>
          <w:noProof/>
          <w:lang w:eastAsia="en-ID"/>
        </w:rPr>
        <w:t>are</w:t>
      </w:r>
      <w:r w:rsidRPr="008D6A9F">
        <w:rPr>
          <w:noProof/>
          <w:lang w:eastAsia="en-ID"/>
        </w:rPr>
        <w:t xml:space="preserve"> more influenced by </w:t>
      </w:r>
      <w:r>
        <w:rPr>
          <w:noProof/>
          <w:lang w:eastAsia="en-ID"/>
        </w:rPr>
        <w:t xml:space="preserve">factors at the </w:t>
      </w:r>
      <w:r w:rsidRPr="008D6A9F">
        <w:rPr>
          <w:noProof/>
          <w:lang w:eastAsia="en-ID"/>
        </w:rPr>
        <w:t xml:space="preserve">school level than </w:t>
      </w:r>
      <w:r>
        <w:rPr>
          <w:noProof/>
          <w:lang w:eastAsia="en-ID"/>
        </w:rPr>
        <w:t xml:space="preserve">at the </w:t>
      </w:r>
      <w:r w:rsidRPr="008D6A9F">
        <w:rPr>
          <w:noProof/>
          <w:lang w:eastAsia="en-ID"/>
        </w:rPr>
        <w:t>student level. These results are similar to stud</w:t>
      </w:r>
      <w:r>
        <w:rPr>
          <w:noProof/>
          <w:lang w:eastAsia="en-ID"/>
        </w:rPr>
        <w:t xml:space="preserve">y </w:t>
      </w:r>
      <w:r w:rsidRPr="008D6A9F">
        <w:rPr>
          <w:noProof/>
          <w:lang w:eastAsia="en-ID"/>
        </w:rPr>
        <w:t xml:space="preserve">that reveal the influence of schools on students' mathematics scores </w:t>
      </w:r>
      <w:r w:rsidRPr="008D6A9F">
        <w:rPr>
          <w:noProof/>
          <w:lang w:eastAsia="en-ID"/>
        </w:rPr>
        <w:fldChar w:fldCharType="begin" w:fldLock="1"/>
      </w:r>
      <w:r>
        <w:rPr>
          <w:noProof/>
          <w:lang w:eastAsia="en-ID"/>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Research","id":"ITEM-1","issued":{"date-parts":[["2016"]]},"page":"106-115","publisher":"Elsevier Ltd","title":"Examining students’ achievement in mathematics: A multilevel analysis of the Programme for International Student Assessment (PISA) 2012 data for Greece","type":"article-journal","volume":"79"},"uris":["http://www.mendeley.com/documents/?uuid=861f5980-92f3-4b84-9ccf-7b4af4aa968f"]}],"mendeley":{"formattedCitation":"(Karakolidis et al., 2016)","manualFormatting":"[3]","plainTextFormattedCitation":"(Karakolidis et al., 2016)","previouslyFormattedCitation":"(Karakolidis et al., 2016)"},"properties":{"noteIndex":0},"schema":"https://github.com/citation-style-language/schema/raw/master/csl-citation.json"}</w:instrText>
      </w:r>
      <w:r w:rsidRPr="008D6A9F">
        <w:rPr>
          <w:noProof/>
          <w:lang w:eastAsia="en-ID"/>
        </w:rPr>
        <w:fldChar w:fldCharType="separate"/>
      </w:r>
      <w:r w:rsidRPr="008D6A9F">
        <w:rPr>
          <w:noProof/>
          <w:lang w:eastAsia="en-ID"/>
        </w:rPr>
        <w:t>[3]</w:t>
      </w:r>
      <w:r w:rsidRPr="008D6A9F">
        <w:rPr>
          <w:noProof/>
          <w:lang w:eastAsia="en-ID"/>
        </w:rPr>
        <w:fldChar w:fldCharType="end"/>
      </w:r>
      <w:r w:rsidRPr="008D6A9F">
        <w:rPr>
          <w:noProof/>
          <w:lang w:eastAsia="en-ID"/>
        </w:rPr>
        <w:t>.</w:t>
      </w:r>
    </w:p>
    <w:p w14:paraId="78AEA1E5" w14:textId="6ECBFF71" w:rsidR="003A22A0" w:rsidRPr="00A33734" w:rsidRDefault="003A22A0" w:rsidP="003A22A0">
      <w:pPr>
        <w:spacing w:before="240"/>
        <w:jc w:val="center"/>
        <w:rPr>
          <w:iCs/>
          <w:noProof/>
          <w:lang w:val="en-US"/>
        </w:rPr>
      </w:pPr>
      <w:r w:rsidRPr="00A33734">
        <w:rPr>
          <w:b/>
          <w:bCs/>
          <w:iCs/>
          <w:noProof/>
          <w:lang w:val="en-US"/>
        </w:rPr>
        <w:t>Table</w:t>
      </w:r>
      <w:r w:rsidR="007E6CB9">
        <w:rPr>
          <w:b/>
          <w:bCs/>
          <w:iCs/>
          <w:noProof/>
          <w:lang w:val="en-US"/>
        </w:rPr>
        <w:t xml:space="preserve"> 2</w:t>
      </w:r>
      <w:r w:rsidRPr="008D6A9F">
        <w:rPr>
          <w:b/>
          <w:bCs/>
          <w:iCs/>
          <w:noProof/>
          <w:lang w:val="en-US"/>
        </w:rPr>
        <w:t xml:space="preserve">. </w:t>
      </w:r>
      <w:r w:rsidRPr="008D6A9F">
        <w:rPr>
          <w:iCs/>
          <w:noProof/>
          <w:lang w:val="en-US"/>
        </w:rPr>
        <w:t>Result Summary</w:t>
      </w:r>
    </w:p>
    <w:tbl>
      <w:tblPr>
        <w:tblStyle w:val="KisiTabe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984"/>
        <w:gridCol w:w="2126"/>
        <w:gridCol w:w="2268"/>
      </w:tblGrid>
      <w:tr w:rsidR="003A22A0" w:rsidRPr="00A33734" w14:paraId="26A5ACB0" w14:textId="77777777" w:rsidTr="003A22A0">
        <w:tc>
          <w:tcPr>
            <w:tcW w:w="2694" w:type="dxa"/>
            <w:tcBorders>
              <w:top w:val="single" w:sz="4" w:space="0" w:color="auto"/>
              <w:bottom w:val="single" w:sz="4" w:space="0" w:color="auto"/>
            </w:tcBorders>
          </w:tcPr>
          <w:p w14:paraId="5E85B478" w14:textId="77777777" w:rsidR="003A22A0" w:rsidRPr="00A33734" w:rsidRDefault="003A22A0" w:rsidP="00110A1E">
            <w:pPr>
              <w:rPr>
                <w:iCs/>
                <w:noProof/>
                <w:lang w:val="en-US"/>
              </w:rPr>
            </w:pPr>
          </w:p>
        </w:tc>
        <w:tc>
          <w:tcPr>
            <w:tcW w:w="1984" w:type="dxa"/>
            <w:tcBorders>
              <w:top w:val="single" w:sz="4" w:space="0" w:color="auto"/>
              <w:bottom w:val="single" w:sz="4" w:space="0" w:color="auto"/>
            </w:tcBorders>
          </w:tcPr>
          <w:p w14:paraId="4A69372F" w14:textId="77777777" w:rsidR="003A22A0" w:rsidRPr="00A33734" w:rsidRDefault="003A22A0" w:rsidP="00110A1E">
            <w:pPr>
              <w:rPr>
                <w:iCs/>
                <w:noProof/>
                <w:lang w:val="en-US"/>
              </w:rPr>
            </w:pPr>
            <w:r w:rsidRPr="00A33734">
              <w:rPr>
                <w:iCs/>
                <w:noProof/>
                <w:lang w:val="en-US"/>
              </w:rPr>
              <w:t>Model Without Predictors (SE)</w:t>
            </w:r>
          </w:p>
        </w:tc>
        <w:tc>
          <w:tcPr>
            <w:tcW w:w="2126" w:type="dxa"/>
            <w:tcBorders>
              <w:top w:val="single" w:sz="4" w:space="0" w:color="auto"/>
              <w:bottom w:val="single" w:sz="4" w:space="0" w:color="auto"/>
            </w:tcBorders>
          </w:tcPr>
          <w:p w14:paraId="4176ECE0" w14:textId="77777777" w:rsidR="003A22A0" w:rsidRPr="00A33734" w:rsidRDefault="003A22A0" w:rsidP="00110A1E">
            <w:pPr>
              <w:rPr>
                <w:iCs/>
                <w:noProof/>
                <w:lang w:val="en-US"/>
              </w:rPr>
            </w:pPr>
            <w:r w:rsidRPr="00A33734">
              <w:rPr>
                <w:iCs/>
                <w:noProof/>
                <w:lang w:val="en-US"/>
              </w:rPr>
              <w:t>Level 1 Predictor Model (SE)</w:t>
            </w:r>
          </w:p>
        </w:tc>
        <w:tc>
          <w:tcPr>
            <w:tcW w:w="2268" w:type="dxa"/>
            <w:tcBorders>
              <w:top w:val="single" w:sz="4" w:space="0" w:color="auto"/>
              <w:bottom w:val="single" w:sz="4" w:space="0" w:color="auto"/>
            </w:tcBorders>
          </w:tcPr>
          <w:p w14:paraId="0A6A2F4F" w14:textId="77777777" w:rsidR="003A22A0" w:rsidRPr="00A33734" w:rsidRDefault="003A22A0" w:rsidP="00110A1E">
            <w:pPr>
              <w:rPr>
                <w:iCs/>
                <w:noProof/>
                <w:lang w:val="en-US"/>
              </w:rPr>
            </w:pPr>
            <w:r w:rsidRPr="00A33734">
              <w:rPr>
                <w:iCs/>
                <w:noProof/>
                <w:lang w:val="en-US"/>
              </w:rPr>
              <w:t>Final Model (SE)</w:t>
            </w:r>
          </w:p>
        </w:tc>
      </w:tr>
      <w:tr w:rsidR="003A22A0" w:rsidRPr="00A33734" w14:paraId="10619D4D" w14:textId="77777777" w:rsidTr="003A22A0">
        <w:tc>
          <w:tcPr>
            <w:tcW w:w="2694" w:type="dxa"/>
            <w:tcBorders>
              <w:top w:val="single" w:sz="4" w:space="0" w:color="auto"/>
            </w:tcBorders>
          </w:tcPr>
          <w:p w14:paraId="3CDE9E40" w14:textId="231381D9" w:rsidR="003A22A0" w:rsidRPr="00A33734" w:rsidRDefault="001169E4" w:rsidP="00110A1E">
            <w:pPr>
              <w:rPr>
                <w:iCs/>
                <w:noProof/>
                <w:lang w:val="en-US"/>
              </w:rPr>
            </w:pPr>
            <w:r>
              <w:rPr>
                <w:iCs/>
                <w:noProof/>
                <w:lang w:val="en-US"/>
              </w:rPr>
              <w:t>HPY</w:t>
            </w:r>
          </w:p>
        </w:tc>
        <w:tc>
          <w:tcPr>
            <w:tcW w:w="1984" w:type="dxa"/>
            <w:tcBorders>
              <w:top w:val="single" w:sz="4" w:space="0" w:color="auto"/>
            </w:tcBorders>
          </w:tcPr>
          <w:p w14:paraId="4369CD93" w14:textId="77777777" w:rsidR="003A22A0" w:rsidRPr="00A33734" w:rsidRDefault="003A22A0" w:rsidP="00110A1E">
            <w:pPr>
              <w:rPr>
                <w:iCs/>
                <w:noProof/>
                <w:lang w:val="en-US"/>
              </w:rPr>
            </w:pPr>
            <w:r w:rsidRPr="00A33734">
              <w:rPr>
                <w:iCs/>
                <w:noProof/>
                <w:lang w:val="en-US"/>
              </w:rPr>
              <w:t>-</w:t>
            </w:r>
          </w:p>
        </w:tc>
        <w:tc>
          <w:tcPr>
            <w:tcW w:w="2126" w:type="dxa"/>
            <w:tcBorders>
              <w:top w:val="single" w:sz="4" w:space="0" w:color="auto"/>
            </w:tcBorders>
          </w:tcPr>
          <w:p w14:paraId="4D004F74" w14:textId="2730D1B8" w:rsidR="003A22A0" w:rsidRPr="00A33734" w:rsidRDefault="003A22A0" w:rsidP="00110A1E">
            <w:pPr>
              <w:rPr>
                <w:iCs/>
                <w:noProof/>
                <w:lang w:val="en-US"/>
              </w:rPr>
            </w:pPr>
            <w:r w:rsidRPr="00A33734">
              <w:rPr>
                <w:iCs/>
                <w:noProof/>
                <w:lang w:val="en-US"/>
              </w:rPr>
              <w:t>7</w:t>
            </w:r>
            <w:r w:rsidR="000273B1">
              <w:rPr>
                <w:iCs/>
                <w:noProof/>
                <w:lang w:val="en-US"/>
              </w:rPr>
              <w:t>.</w:t>
            </w:r>
            <w:r w:rsidRPr="00A33734">
              <w:rPr>
                <w:iCs/>
                <w:noProof/>
                <w:lang w:val="en-US"/>
              </w:rPr>
              <w:t>136 (5</w:t>
            </w:r>
            <w:r w:rsidR="000273B1">
              <w:rPr>
                <w:iCs/>
                <w:noProof/>
                <w:lang w:val="en-US"/>
              </w:rPr>
              <w:t>.</w:t>
            </w:r>
            <w:r w:rsidRPr="00A33734">
              <w:rPr>
                <w:iCs/>
                <w:noProof/>
                <w:lang w:val="en-US"/>
              </w:rPr>
              <w:t>945) *</w:t>
            </w:r>
            <w:r w:rsidR="00BF43DA">
              <w:rPr>
                <w:iCs/>
                <w:noProof/>
                <w:lang w:val="en-US"/>
              </w:rPr>
              <w:t>**</w:t>
            </w:r>
          </w:p>
        </w:tc>
        <w:tc>
          <w:tcPr>
            <w:tcW w:w="2268" w:type="dxa"/>
            <w:tcBorders>
              <w:top w:val="single" w:sz="4" w:space="0" w:color="auto"/>
            </w:tcBorders>
          </w:tcPr>
          <w:p w14:paraId="1FF4E0D2" w14:textId="75F2B933" w:rsidR="003A22A0" w:rsidRPr="00A33734" w:rsidRDefault="003A22A0" w:rsidP="00110A1E">
            <w:pPr>
              <w:rPr>
                <w:iCs/>
                <w:noProof/>
                <w:lang w:val="en-US"/>
              </w:rPr>
            </w:pPr>
            <w:r w:rsidRPr="00A33734">
              <w:rPr>
                <w:iCs/>
                <w:noProof/>
                <w:lang w:val="en-US"/>
              </w:rPr>
              <w:t>7</w:t>
            </w:r>
            <w:r w:rsidR="000273B1">
              <w:rPr>
                <w:iCs/>
                <w:noProof/>
                <w:lang w:val="en-US"/>
              </w:rPr>
              <w:t>.</w:t>
            </w:r>
            <w:r w:rsidRPr="00A33734">
              <w:rPr>
                <w:iCs/>
                <w:noProof/>
                <w:lang w:val="en-US"/>
              </w:rPr>
              <w:t>154 (1</w:t>
            </w:r>
            <w:r w:rsidR="000273B1">
              <w:rPr>
                <w:iCs/>
                <w:noProof/>
                <w:lang w:val="en-US"/>
              </w:rPr>
              <w:t>.</w:t>
            </w:r>
            <w:r w:rsidRPr="00A33734">
              <w:rPr>
                <w:iCs/>
                <w:noProof/>
                <w:lang w:val="en-US"/>
              </w:rPr>
              <w:t>118) *</w:t>
            </w:r>
            <w:r w:rsidR="00BF43DA">
              <w:rPr>
                <w:iCs/>
                <w:noProof/>
                <w:lang w:val="en-US"/>
              </w:rPr>
              <w:t>**</w:t>
            </w:r>
          </w:p>
        </w:tc>
      </w:tr>
      <w:tr w:rsidR="003A22A0" w:rsidRPr="00A33734" w14:paraId="1AFF7191" w14:textId="77777777" w:rsidTr="003A22A0">
        <w:tc>
          <w:tcPr>
            <w:tcW w:w="2694" w:type="dxa"/>
          </w:tcPr>
          <w:p w14:paraId="0BDC519E" w14:textId="2F94DAAC" w:rsidR="003A22A0" w:rsidRPr="00A33734" w:rsidRDefault="001169E4" w:rsidP="00110A1E">
            <w:pPr>
              <w:rPr>
                <w:iCs/>
                <w:noProof/>
                <w:lang w:val="en-US"/>
              </w:rPr>
            </w:pPr>
            <w:r>
              <w:rPr>
                <w:iCs/>
                <w:noProof/>
                <w:lang w:val="en-US"/>
              </w:rPr>
              <w:t>LVL</w:t>
            </w:r>
          </w:p>
        </w:tc>
        <w:tc>
          <w:tcPr>
            <w:tcW w:w="1984" w:type="dxa"/>
          </w:tcPr>
          <w:p w14:paraId="1E33C82F" w14:textId="77777777" w:rsidR="003A22A0" w:rsidRPr="00A33734" w:rsidRDefault="003A22A0" w:rsidP="00110A1E">
            <w:pPr>
              <w:rPr>
                <w:iCs/>
                <w:noProof/>
                <w:lang w:val="en-US"/>
              </w:rPr>
            </w:pPr>
            <w:r w:rsidRPr="00A33734">
              <w:rPr>
                <w:iCs/>
                <w:noProof/>
                <w:lang w:val="en-US"/>
              </w:rPr>
              <w:t>-</w:t>
            </w:r>
          </w:p>
        </w:tc>
        <w:tc>
          <w:tcPr>
            <w:tcW w:w="2126" w:type="dxa"/>
          </w:tcPr>
          <w:p w14:paraId="439365E0" w14:textId="16EA53C4" w:rsidR="003A22A0" w:rsidRPr="00A33734" w:rsidRDefault="003A22A0" w:rsidP="00110A1E">
            <w:pPr>
              <w:rPr>
                <w:iCs/>
                <w:noProof/>
                <w:lang w:val="en-US"/>
              </w:rPr>
            </w:pPr>
            <w:r w:rsidRPr="00A33734">
              <w:rPr>
                <w:iCs/>
                <w:noProof/>
                <w:lang w:val="en-US"/>
              </w:rPr>
              <w:t>-3</w:t>
            </w:r>
            <w:r w:rsidR="000273B1">
              <w:rPr>
                <w:iCs/>
                <w:noProof/>
                <w:lang w:val="en-US"/>
              </w:rPr>
              <w:t>.</w:t>
            </w:r>
            <w:r w:rsidRPr="00A33734">
              <w:rPr>
                <w:iCs/>
                <w:noProof/>
                <w:lang w:val="en-US"/>
              </w:rPr>
              <w:t>039 (1</w:t>
            </w:r>
            <w:r w:rsidR="000273B1">
              <w:rPr>
                <w:iCs/>
                <w:noProof/>
                <w:lang w:val="en-US"/>
              </w:rPr>
              <w:t>.</w:t>
            </w:r>
            <w:r w:rsidRPr="00A33734">
              <w:rPr>
                <w:iCs/>
                <w:noProof/>
                <w:lang w:val="en-US"/>
              </w:rPr>
              <w:t>013) *</w:t>
            </w:r>
            <w:r w:rsidR="00BF43DA">
              <w:rPr>
                <w:iCs/>
                <w:noProof/>
                <w:lang w:val="en-US"/>
              </w:rPr>
              <w:t>*</w:t>
            </w:r>
          </w:p>
        </w:tc>
        <w:tc>
          <w:tcPr>
            <w:tcW w:w="2268" w:type="dxa"/>
          </w:tcPr>
          <w:p w14:paraId="08B82210" w14:textId="7BB7DE72" w:rsidR="003A22A0" w:rsidRPr="00A33734" w:rsidRDefault="003A22A0" w:rsidP="00110A1E">
            <w:pPr>
              <w:rPr>
                <w:iCs/>
                <w:noProof/>
                <w:lang w:val="en-US"/>
              </w:rPr>
            </w:pPr>
            <w:r w:rsidRPr="00A33734">
              <w:rPr>
                <w:iCs/>
                <w:noProof/>
                <w:lang w:val="en-US"/>
              </w:rPr>
              <w:t>-3</w:t>
            </w:r>
            <w:r w:rsidR="000273B1">
              <w:rPr>
                <w:iCs/>
                <w:noProof/>
                <w:lang w:val="en-US"/>
              </w:rPr>
              <w:t>.</w:t>
            </w:r>
            <w:r w:rsidRPr="00A33734">
              <w:rPr>
                <w:iCs/>
                <w:noProof/>
                <w:lang w:val="en-US"/>
              </w:rPr>
              <w:t>074 (1</w:t>
            </w:r>
            <w:r w:rsidR="000273B1">
              <w:rPr>
                <w:iCs/>
                <w:noProof/>
                <w:lang w:val="en-US"/>
              </w:rPr>
              <w:t>.</w:t>
            </w:r>
            <w:r w:rsidRPr="00A33734">
              <w:rPr>
                <w:iCs/>
                <w:noProof/>
                <w:lang w:val="en-US"/>
              </w:rPr>
              <w:t>013) *</w:t>
            </w:r>
            <w:r w:rsidR="00BF43DA">
              <w:rPr>
                <w:iCs/>
                <w:noProof/>
                <w:lang w:val="en-US"/>
              </w:rPr>
              <w:t>*</w:t>
            </w:r>
          </w:p>
        </w:tc>
      </w:tr>
      <w:tr w:rsidR="003A22A0" w:rsidRPr="00A33734" w14:paraId="19A005AB" w14:textId="77777777" w:rsidTr="003A22A0">
        <w:tc>
          <w:tcPr>
            <w:tcW w:w="2694" w:type="dxa"/>
          </w:tcPr>
          <w:p w14:paraId="54B49287" w14:textId="7B56814C" w:rsidR="003A22A0" w:rsidRPr="00A33734" w:rsidRDefault="001169E4" w:rsidP="00110A1E">
            <w:pPr>
              <w:rPr>
                <w:iCs/>
                <w:noProof/>
                <w:lang w:val="en-US"/>
              </w:rPr>
            </w:pPr>
            <w:r>
              <w:rPr>
                <w:iCs/>
                <w:noProof/>
                <w:lang w:val="en-US"/>
              </w:rPr>
              <w:t>PRD</w:t>
            </w:r>
          </w:p>
        </w:tc>
        <w:tc>
          <w:tcPr>
            <w:tcW w:w="1984" w:type="dxa"/>
          </w:tcPr>
          <w:p w14:paraId="2E66307E" w14:textId="77777777" w:rsidR="003A22A0" w:rsidRPr="00A33734" w:rsidRDefault="003A22A0" w:rsidP="00110A1E">
            <w:pPr>
              <w:rPr>
                <w:iCs/>
                <w:noProof/>
                <w:lang w:val="en-US"/>
              </w:rPr>
            </w:pPr>
            <w:r w:rsidRPr="00A33734">
              <w:rPr>
                <w:iCs/>
                <w:noProof/>
                <w:lang w:val="en-US"/>
              </w:rPr>
              <w:t>-</w:t>
            </w:r>
          </w:p>
        </w:tc>
        <w:tc>
          <w:tcPr>
            <w:tcW w:w="2126" w:type="dxa"/>
          </w:tcPr>
          <w:p w14:paraId="215F1762" w14:textId="24E17CEA" w:rsidR="003A22A0" w:rsidRPr="00A33734" w:rsidRDefault="003A22A0" w:rsidP="00110A1E">
            <w:pPr>
              <w:rPr>
                <w:iCs/>
                <w:noProof/>
                <w:lang w:val="en-US"/>
              </w:rPr>
            </w:pPr>
            <w:r w:rsidRPr="00A33734">
              <w:rPr>
                <w:iCs/>
                <w:noProof/>
                <w:lang w:val="en-US"/>
              </w:rPr>
              <w:t>-5</w:t>
            </w:r>
            <w:r w:rsidR="000273B1">
              <w:rPr>
                <w:iCs/>
                <w:noProof/>
                <w:lang w:val="en-US"/>
              </w:rPr>
              <w:t>.</w:t>
            </w:r>
            <w:r w:rsidRPr="00A33734">
              <w:rPr>
                <w:iCs/>
                <w:noProof/>
                <w:lang w:val="en-US"/>
              </w:rPr>
              <w:t>151 (0</w:t>
            </w:r>
            <w:r w:rsidR="000273B1">
              <w:rPr>
                <w:iCs/>
                <w:noProof/>
                <w:lang w:val="en-US"/>
              </w:rPr>
              <w:t>.</w:t>
            </w:r>
            <w:r w:rsidRPr="00A33734">
              <w:rPr>
                <w:iCs/>
                <w:noProof/>
                <w:lang w:val="en-US"/>
              </w:rPr>
              <w:t>920) *</w:t>
            </w:r>
            <w:r w:rsidR="00BF43DA">
              <w:rPr>
                <w:iCs/>
                <w:noProof/>
                <w:lang w:val="en-US"/>
              </w:rPr>
              <w:t>**</w:t>
            </w:r>
          </w:p>
        </w:tc>
        <w:tc>
          <w:tcPr>
            <w:tcW w:w="2268" w:type="dxa"/>
          </w:tcPr>
          <w:p w14:paraId="5810DAA0" w14:textId="71CC5EA0" w:rsidR="003A22A0" w:rsidRPr="00A33734" w:rsidRDefault="003A22A0" w:rsidP="00110A1E">
            <w:pPr>
              <w:rPr>
                <w:iCs/>
                <w:noProof/>
                <w:lang w:val="en-US"/>
              </w:rPr>
            </w:pPr>
            <w:r w:rsidRPr="00A33734">
              <w:rPr>
                <w:iCs/>
                <w:noProof/>
                <w:lang w:val="en-US"/>
              </w:rPr>
              <w:t>-5</w:t>
            </w:r>
            <w:r w:rsidR="000273B1">
              <w:rPr>
                <w:iCs/>
                <w:noProof/>
                <w:lang w:val="en-US"/>
              </w:rPr>
              <w:t>.</w:t>
            </w:r>
            <w:r w:rsidRPr="00A33734">
              <w:rPr>
                <w:iCs/>
                <w:noProof/>
                <w:lang w:val="en-US"/>
              </w:rPr>
              <w:t>177 (0</w:t>
            </w:r>
            <w:r w:rsidR="000273B1">
              <w:rPr>
                <w:iCs/>
                <w:noProof/>
                <w:lang w:val="en-US"/>
              </w:rPr>
              <w:t>.</w:t>
            </w:r>
            <w:r w:rsidRPr="00A33734">
              <w:rPr>
                <w:iCs/>
                <w:noProof/>
                <w:lang w:val="en-US"/>
              </w:rPr>
              <w:t>919) *</w:t>
            </w:r>
            <w:r w:rsidR="00BF43DA">
              <w:rPr>
                <w:iCs/>
                <w:noProof/>
                <w:lang w:val="en-US"/>
              </w:rPr>
              <w:t>**</w:t>
            </w:r>
          </w:p>
        </w:tc>
      </w:tr>
      <w:tr w:rsidR="003A22A0" w:rsidRPr="00A33734" w14:paraId="3E2BD30C" w14:textId="77777777" w:rsidTr="003A22A0">
        <w:tc>
          <w:tcPr>
            <w:tcW w:w="2694" w:type="dxa"/>
          </w:tcPr>
          <w:p w14:paraId="2B0626EC" w14:textId="65DBFD71" w:rsidR="003A22A0" w:rsidRPr="00A33734" w:rsidRDefault="001169E4" w:rsidP="00110A1E">
            <w:pPr>
              <w:rPr>
                <w:iCs/>
                <w:noProof/>
                <w:lang w:val="en-US"/>
              </w:rPr>
            </w:pPr>
            <w:r>
              <w:rPr>
                <w:iCs/>
                <w:noProof/>
                <w:lang w:val="en-US"/>
              </w:rPr>
              <w:t>JOY</w:t>
            </w:r>
          </w:p>
        </w:tc>
        <w:tc>
          <w:tcPr>
            <w:tcW w:w="1984" w:type="dxa"/>
          </w:tcPr>
          <w:p w14:paraId="260FEF3F" w14:textId="77777777" w:rsidR="003A22A0" w:rsidRPr="00A33734" w:rsidRDefault="003A22A0" w:rsidP="00110A1E">
            <w:pPr>
              <w:rPr>
                <w:iCs/>
                <w:noProof/>
                <w:lang w:val="en-US"/>
              </w:rPr>
            </w:pPr>
            <w:r w:rsidRPr="00A33734">
              <w:rPr>
                <w:iCs/>
                <w:noProof/>
                <w:lang w:val="en-US"/>
              </w:rPr>
              <w:t>-</w:t>
            </w:r>
          </w:p>
        </w:tc>
        <w:tc>
          <w:tcPr>
            <w:tcW w:w="2126" w:type="dxa"/>
          </w:tcPr>
          <w:p w14:paraId="4C5A109D" w14:textId="08FF34D0" w:rsidR="003A22A0" w:rsidRPr="00A33734" w:rsidRDefault="003A22A0" w:rsidP="00110A1E">
            <w:pPr>
              <w:rPr>
                <w:iCs/>
                <w:noProof/>
                <w:lang w:val="en-US"/>
              </w:rPr>
            </w:pPr>
            <w:r w:rsidRPr="00A33734">
              <w:rPr>
                <w:iCs/>
                <w:noProof/>
                <w:lang w:val="en-US"/>
              </w:rPr>
              <w:t>-0</w:t>
            </w:r>
            <w:r w:rsidR="000273B1">
              <w:rPr>
                <w:iCs/>
                <w:noProof/>
                <w:lang w:val="en-US"/>
              </w:rPr>
              <w:t>.</w:t>
            </w:r>
            <w:r w:rsidRPr="00A33734">
              <w:rPr>
                <w:iCs/>
                <w:noProof/>
                <w:lang w:val="en-US"/>
              </w:rPr>
              <w:t>786 (1</w:t>
            </w:r>
            <w:r w:rsidR="000273B1">
              <w:rPr>
                <w:iCs/>
                <w:noProof/>
                <w:lang w:val="en-US"/>
              </w:rPr>
              <w:t>.</w:t>
            </w:r>
            <w:r w:rsidRPr="00A33734">
              <w:rPr>
                <w:iCs/>
                <w:noProof/>
                <w:lang w:val="en-US"/>
              </w:rPr>
              <w:t>218)</w:t>
            </w:r>
          </w:p>
        </w:tc>
        <w:tc>
          <w:tcPr>
            <w:tcW w:w="2268" w:type="dxa"/>
          </w:tcPr>
          <w:p w14:paraId="363C30E0" w14:textId="41B6F57F" w:rsidR="003A22A0" w:rsidRPr="00A33734" w:rsidRDefault="003A22A0" w:rsidP="00110A1E">
            <w:pPr>
              <w:rPr>
                <w:iCs/>
                <w:noProof/>
                <w:lang w:val="en-US"/>
              </w:rPr>
            </w:pPr>
            <w:r w:rsidRPr="00A33734">
              <w:rPr>
                <w:iCs/>
                <w:noProof/>
                <w:lang w:val="en-US"/>
              </w:rPr>
              <w:t>-0</w:t>
            </w:r>
            <w:r w:rsidR="000273B1">
              <w:rPr>
                <w:iCs/>
                <w:noProof/>
                <w:lang w:val="en-US"/>
              </w:rPr>
              <w:t>.</w:t>
            </w:r>
            <w:r w:rsidRPr="00A33734">
              <w:rPr>
                <w:iCs/>
                <w:noProof/>
                <w:lang w:val="en-US"/>
              </w:rPr>
              <w:t>813 (1</w:t>
            </w:r>
            <w:r w:rsidR="000273B1">
              <w:rPr>
                <w:iCs/>
                <w:noProof/>
                <w:lang w:val="en-US"/>
              </w:rPr>
              <w:t>.</w:t>
            </w:r>
            <w:r w:rsidRPr="00A33734">
              <w:rPr>
                <w:iCs/>
                <w:noProof/>
                <w:lang w:val="en-US"/>
              </w:rPr>
              <w:t>218)</w:t>
            </w:r>
          </w:p>
        </w:tc>
      </w:tr>
      <w:tr w:rsidR="003A22A0" w:rsidRPr="00A33734" w14:paraId="43C9CE1F" w14:textId="77777777" w:rsidTr="003A22A0">
        <w:tc>
          <w:tcPr>
            <w:tcW w:w="2694" w:type="dxa"/>
          </w:tcPr>
          <w:p w14:paraId="324C4CC0" w14:textId="22F4E0E1" w:rsidR="003A22A0" w:rsidRPr="00A33734" w:rsidRDefault="001169E4" w:rsidP="00110A1E">
            <w:pPr>
              <w:rPr>
                <w:iCs/>
                <w:noProof/>
                <w:lang w:val="en-US"/>
              </w:rPr>
            </w:pPr>
            <w:r>
              <w:rPr>
                <w:iCs/>
                <w:noProof/>
                <w:lang w:val="en-US"/>
              </w:rPr>
              <w:t>CRF</w:t>
            </w:r>
          </w:p>
        </w:tc>
        <w:tc>
          <w:tcPr>
            <w:tcW w:w="1984" w:type="dxa"/>
          </w:tcPr>
          <w:p w14:paraId="34292FFA" w14:textId="77777777" w:rsidR="003A22A0" w:rsidRPr="00A33734" w:rsidRDefault="003A22A0" w:rsidP="00110A1E">
            <w:pPr>
              <w:rPr>
                <w:iCs/>
                <w:noProof/>
                <w:lang w:val="en-US"/>
              </w:rPr>
            </w:pPr>
            <w:r w:rsidRPr="00A33734">
              <w:rPr>
                <w:iCs/>
                <w:noProof/>
                <w:lang w:val="en-US"/>
              </w:rPr>
              <w:t>-</w:t>
            </w:r>
          </w:p>
        </w:tc>
        <w:tc>
          <w:tcPr>
            <w:tcW w:w="2126" w:type="dxa"/>
          </w:tcPr>
          <w:p w14:paraId="2B225593" w14:textId="3E7FC03A" w:rsidR="003A22A0" w:rsidRPr="00A33734" w:rsidRDefault="003A22A0" w:rsidP="00110A1E">
            <w:pPr>
              <w:rPr>
                <w:iCs/>
                <w:noProof/>
                <w:lang w:val="en-US"/>
              </w:rPr>
            </w:pPr>
            <w:r w:rsidRPr="00A33734">
              <w:rPr>
                <w:iCs/>
                <w:noProof/>
                <w:lang w:val="en-US"/>
              </w:rPr>
              <w:t>-1</w:t>
            </w:r>
            <w:r w:rsidR="000273B1">
              <w:rPr>
                <w:iCs/>
                <w:noProof/>
                <w:lang w:val="en-US"/>
              </w:rPr>
              <w:t>.</w:t>
            </w:r>
            <w:r w:rsidRPr="00A33734">
              <w:rPr>
                <w:iCs/>
                <w:noProof/>
                <w:lang w:val="en-US"/>
              </w:rPr>
              <w:t>273 (1</w:t>
            </w:r>
            <w:r w:rsidR="000273B1">
              <w:rPr>
                <w:iCs/>
                <w:noProof/>
                <w:lang w:val="en-US"/>
              </w:rPr>
              <w:t>.</w:t>
            </w:r>
            <w:r w:rsidRPr="00A33734">
              <w:rPr>
                <w:iCs/>
                <w:noProof/>
                <w:lang w:val="en-US"/>
              </w:rPr>
              <w:t>154)</w:t>
            </w:r>
          </w:p>
        </w:tc>
        <w:tc>
          <w:tcPr>
            <w:tcW w:w="2268" w:type="dxa"/>
          </w:tcPr>
          <w:p w14:paraId="5F39B461" w14:textId="443CA478" w:rsidR="003A22A0" w:rsidRPr="00A33734" w:rsidRDefault="003A22A0" w:rsidP="00110A1E">
            <w:pPr>
              <w:rPr>
                <w:iCs/>
                <w:noProof/>
                <w:lang w:val="en-US"/>
              </w:rPr>
            </w:pPr>
            <w:r w:rsidRPr="00A33734">
              <w:rPr>
                <w:iCs/>
                <w:noProof/>
                <w:lang w:val="en-US"/>
              </w:rPr>
              <w:t>-1</w:t>
            </w:r>
            <w:r w:rsidR="000273B1">
              <w:rPr>
                <w:iCs/>
                <w:noProof/>
                <w:lang w:val="en-US"/>
              </w:rPr>
              <w:t>.</w:t>
            </w:r>
            <w:r w:rsidRPr="00A33734">
              <w:rPr>
                <w:iCs/>
                <w:noProof/>
                <w:lang w:val="en-US"/>
              </w:rPr>
              <w:t>245 (1</w:t>
            </w:r>
            <w:r w:rsidR="000273B1">
              <w:rPr>
                <w:iCs/>
                <w:noProof/>
                <w:lang w:val="en-US"/>
              </w:rPr>
              <w:t>.</w:t>
            </w:r>
            <w:r w:rsidRPr="00A33734">
              <w:rPr>
                <w:iCs/>
                <w:noProof/>
                <w:lang w:val="en-US"/>
              </w:rPr>
              <w:t>153)</w:t>
            </w:r>
          </w:p>
        </w:tc>
      </w:tr>
      <w:tr w:rsidR="003A22A0" w:rsidRPr="00A33734" w14:paraId="46864378" w14:textId="77777777" w:rsidTr="003A22A0">
        <w:tc>
          <w:tcPr>
            <w:tcW w:w="2694" w:type="dxa"/>
          </w:tcPr>
          <w:p w14:paraId="2FF54FC8" w14:textId="657E5D11" w:rsidR="003A22A0" w:rsidRPr="00A33734" w:rsidRDefault="001169E4" w:rsidP="00110A1E">
            <w:pPr>
              <w:rPr>
                <w:iCs/>
                <w:noProof/>
                <w:lang w:val="en-US"/>
              </w:rPr>
            </w:pPr>
            <w:r>
              <w:rPr>
                <w:iCs/>
                <w:noProof/>
                <w:lang w:val="en-US"/>
              </w:rPr>
              <w:t>LS</w:t>
            </w:r>
          </w:p>
        </w:tc>
        <w:tc>
          <w:tcPr>
            <w:tcW w:w="1984" w:type="dxa"/>
          </w:tcPr>
          <w:p w14:paraId="7102814C" w14:textId="77777777" w:rsidR="003A22A0" w:rsidRPr="00A33734" w:rsidRDefault="003A22A0" w:rsidP="00110A1E">
            <w:pPr>
              <w:rPr>
                <w:iCs/>
                <w:noProof/>
                <w:lang w:val="en-US"/>
              </w:rPr>
            </w:pPr>
            <w:r w:rsidRPr="00A33734">
              <w:rPr>
                <w:iCs/>
                <w:noProof/>
                <w:lang w:val="en-US"/>
              </w:rPr>
              <w:t>-</w:t>
            </w:r>
          </w:p>
        </w:tc>
        <w:tc>
          <w:tcPr>
            <w:tcW w:w="2126" w:type="dxa"/>
          </w:tcPr>
          <w:p w14:paraId="0827320E" w14:textId="1B5B0812" w:rsidR="003A22A0" w:rsidRPr="00A33734" w:rsidRDefault="003A22A0" w:rsidP="00110A1E">
            <w:pPr>
              <w:rPr>
                <w:iCs/>
                <w:noProof/>
                <w:lang w:val="en-US"/>
              </w:rPr>
            </w:pPr>
            <w:r w:rsidRPr="00A33734">
              <w:rPr>
                <w:iCs/>
                <w:noProof/>
                <w:lang w:val="en-US"/>
              </w:rPr>
              <w:t>-0</w:t>
            </w:r>
            <w:r w:rsidR="000273B1">
              <w:rPr>
                <w:iCs/>
                <w:noProof/>
                <w:lang w:val="en-US"/>
              </w:rPr>
              <w:t>.</w:t>
            </w:r>
            <w:r w:rsidRPr="00A33734">
              <w:rPr>
                <w:iCs/>
                <w:noProof/>
                <w:lang w:val="en-US"/>
              </w:rPr>
              <w:t>556 (0</w:t>
            </w:r>
            <w:r w:rsidR="000273B1">
              <w:rPr>
                <w:iCs/>
                <w:noProof/>
                <w:lang w:val="en-US"/>
              </w:rPr>
              <w:t>.</w:t>
            </w:r>
            <w:r w:rsidRPr="00A33734">
              <w:rPr>
                <w:iCs/>
                <w:noProof/>
                <w:lang w:val="en-US"/>
              </w:rPr>
              <w:t>238) *</w:t>
            </w:r>
          </w:p>
        </w:tc>
        <w:tc>
          <w:tcPr>
            <w:tcW w:w="2268" w:type="dxa"/>
          </w:tcPr>
          <w:p w14:paraId="62B7F6DC" w14:textId="60A93B6F" w:rsidR="003A22A0" w:rsidRPr="00A33734" w:rsidRDefault="003A22A0" w:rsidP="00110A1E">
            <w:pPr>
              <w:rPr>
                <w:iCs/>
                <w:noProof/>
                <w:lang w:val="en-US"/>
              </w:rPr>
            </w:pPr>
            <w:r w:rsidRPr="00A33734">
              <w:rPr>
                <w:iCs/>
                <w:noProof/>
                <w:lang w:val="en-US"/>
              </w:rPr>
              <w:t>-0</w:t>
            </w:r>
            <w:r w:rsidR="000273B1">
              <w:rPr>
                <w:iCs/>
                <w:noProof/>
                <w:lang w:val="en-US"/>
              </w:rPr>
              <w:t>.</w:t>
            </w:r>
            <w:r w:rsidRPr="00A33734">
              <w:rPr>
                <w:iCs/>
                <w:noProof/>
                <w:lang w:val="en-US"/>
              </w:rPr>
              <w:t>564 (0</w:t>
            </w:r>
            <w:r w:rsidR="000273B1">
              <w:rPr>
                <w:iCs/>
                <w:noProof/>
                <w:lang w:val="en-US"/>
              </w:rPr>
              <w:t>.</w:t>
            </w:r>
            <w:r w:rsidRPr="00A33734">
              <w:rPr>
                <w:iCs/>
                <w:noProof/>
                <w:lang w:val="en-US"/>
              </w:rPr>
              <w:t>238) *</w:t>
            </w:r>
          </w:p>
        </w:tc>
      </w:tr>
      <w:tr w:rsidR="003A22A0" w:rsidRPr="00A33734" w14:paraId="0D423402" w14:textId="77777777" w:rsidTr="003A22A0">
        <w:tc>
          <w:tcPr>
            <w:tcW w:w="2694" w:type="dxa"/>
          </w:tcPr>
          <w:p w14:paraId="27D71B80" w14:textId="5759F534" w:rsidR="003A22A0" w:rsidRPr="00A33734" w:rsidRDefault="001169E4" w:rsidP="00110A1E">
            <w:pPr>
              <w:rPr>
                <w:iCs/>
                <w:noProof/>
                <w:lang w:val="en-US"/>
              </w:rPr>
            </w:pPr>
            <w:r>
              <w:rPr>
                <w:iCs/>
                <w:noProof/>
                <w:lang w:val="en-US"/>
              </w:rPr>
              <w:t>SCR</w:t>
            </w:r>
          </w:p>
        </w:tc>
        <w:tc>
          <w:tcPr>
            <w:tcW w:w="1984" w:type="dxa"/>
          </w:tcPr>
          <w:p w14:paraId="0246CD3A" w14:textId="77777777" w:rsidR="003A22A0" w:rsidRPr="00A33734" w:rsidRDefault="003A22A0" w:rsidP="00110A1E">
            <w:pPr>
              <w:rPr>
                <w:iCs/>
                <w:noProof/>
                <w:lang w:val="en-US"/>
              </w:rPr>
            </w:pPr>
            <w:r w:rsidRPr="00A33734">
              <w:rPr>
                <w:iCs/>
                <w:noProof/>
                <w:lang w:val="en-US"/>
              </w:rPr>
              <w:t>-</w:t>
            </w:r>
          </w:p>
        </w:tc>
        <w:tc>
          <w:tcPr>
            <w:tcW w:w="2126" w:type="dxa"/>
          </w:tcPr>
          <w:p w14:paraId="713BE7BC" w14:textId="097A796C" w:rsidR="003A22A0" w:rsidRPr="00A33734" w:rsidRDefault="003A22A0" w:rsidP="00110A1E">
            <w:pPr>
              <w:rPr>
                <w:iCs/>
                <w:noProof/>
                <w:lang w:val="en-US"/>
              </w:rPr>
            </w:pPr>
            <w:r w:rsidRPr="00A33734">
              <w:rPr>
                <w:iCs/>
                <w:noProof/>
                <w:lang w:val="en-US"/>
              </w:rPr>
              <w:t>4</w:t>
            </w:r>
            <w:r w:rsidR="000273B1">
              <w:rPr>
                <w:iCs/>
                <w:noProof/>
                <w:lang w:val="en-US"/>
              </w:rPr>
              <w:t>.</w:t>
            </w:r>
            <w:r w:rsidRPr="00A33734">
              <w:rPr>
                <w:iCs/>
                <w:noProof/>
                <w:lang w:val="en-US"/>
              </w:rPr>
              <w:t>976 (0</w:t>
            </w:r>
            <w:r w:rsidR="000273B1">
              <w:rPr>
                <w:iCs/>
                <w:noProof/>
                <w:lang w:val="en-US"/>
              </w:rPr>
              <w:t>.</w:t>
            </w:r>
            <w:r w:rsidRPr="00A33734">
              <w:rPr>
                <w:iCs/>
                <w:noProof/>
                <w:lang w:val="en-US"/>
              </w:rPr>
              <w:t>985) *</w:t>
            </w:r>
            <w:r w:rsidR="00BF43DA">
              <w:rPr>
                <w:iCs/>
                <w:noProof/>
                <w:lang w:val="en-US"/>
              </w:rPr>
              <w:t>**</w:t>
            </w:r>
          </w:p>
        </w:tc>
        <w:tc>
          <w:tcPr>
            <w:tcW w:w="2268" w:type="dxa"/>
          </w:tcPr>
          <w:p w14:paraId="223603F3" w14:textId="4D5B580F" w:rsidR="003A22A0" w:rsidRPr="00A33734" w:rsidRDefault="003A22A0" w:rsidP="00110A1E">
            <w:pPr>
              <w:rPr>
                <w:iCs/>
                <w:noProof/>
                <w:lang w:val="en-US"/>
              </w:rPr>
            </w:pPr>
            <w:r w:rsidRPr="00A33734">
              <w:rPr>
                <w:iCs/>
                <w:noProof/>
                <w:lang w:val="en-US"/>
              </w:rPr>
              <w:t>4</w:t>
            </w:r>
            <w:r w:rsidR="000273B1">
              <w:rPr>
                <w:iCs/>
                <w:noProof/>
                <w:lang w:val="en-US"/>
              </w:rPr>
              <w:t>.</w:t>
            </w:r>
            <w:r w:rsidRPr="00A33734">
              <w:rPr>
                <w:iCs/>
                <w:noProof/>
                <w:lang w:val="en-US"/>
              </w:rPr>
              <w:t>958 (0</w:t>
            </w:r>
            <w:r w:rsidR="000273B1">
              <w:rPr>
                <w:iCs/>
                <w:noProof/>
                <w:lang w:val="en-US"/>
              </w:rPr>
              <w:t>.</w:t>
            </w:r>
            <w:r w:rsidRPr="00A33734">
              <w:rPr>
                <w:iCs/>
                <w:noProof/>
                <w:lang w:val="en-US"/>
              </w:rPr>
              <w:t>985) *</w:t>
            </w:r>
            <w:r w:rsidR="00BF43DA">
              <w:rPr>
                <w:iCs/>
                <w:noProof/>
                <w:lang w:val="en-US"/>
              </w:rPr>
              <w:t>**</w:t>
            </w:r>
          </w:p>
        </w:tc>
      </w:tr>
      <w:tr w:rsidR="003A22A0" w:rsidRPr="00A33734" w14:paraId="4A99AA5B" w14:textId="77777777" w:rsidTr="003A22A0">
        <w:tc>
          <w:tcPr>
            <w:tcW w:w="2694" w:type="dxa"/>
          </w:tcPr>
          <w:p w14:paraId="3FD1E314" w14:textId="2A60885A" w:rsidR="003A22A0" w:rsidRPr="00A33734" w:rsidRDefault="001169E4" w:rsidP="00110A1E">
            <w:pPr>
              <w:rPr>
                <w:iCs/>
                <w:noProof/>
                <w:lang w:val="en-US"/>
              </w:rPr>
            </w:pPr>
            <w:r>
              <w:rPr>
                <w:iCs/>
                <w:noProof/>
                <w:lang w:val="en-US"/>
              </w:rPr>
              <w:t>MSR</w:t>
            </w:r>
          </w:p>
        </w:tc>
        <w:tc>
          <w:tcPr>
            <w:tcW w:w="1984" w:type="dxa"/>
          </w:tcPr>
          <w:p w14:paraId="72015280" w14:textId="77777777" w:rsidR="003A22A0" w:rsidRPr="00A33734" w:rsidRDefault="003A22A0" w:rsidP="00110A1E">
            <w:pPr>
              <w:rPr>
                <w:iCs/>
                <w:noProof/>
                <w:lang w:val="en-US"/>
              </w:rPr>
            </w:pPr>
            <w:r w:rsidRPr="00A33734">
              <w:rPr>
                <w:iCs/>
                <w:noProof/>
                <w:lang w:val="en-US"/>
              </w:rPr>
              <w:t>-</w:t>
            </w:r>
          </w:p>
        </w:tc>
        <w:tc>
          <w:tcPr>
            <w:tcW w:w="2126" w:type="dxa"/>
          </w:tcPr>
          <w:p w14:paraId="37C6E958" w14:textId="6D44E974"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899 (0.734) *</w:t>
            </w:r>
            <w:r w:rsidR="00BF43DA">
              <w:rPr>
                <w:iCs/>
                <w:noProof/>
                <w:lang w:val="en-US"/>
              </w:rPr>
              <w:t>**</w:t>
            </w:r>
          </w:p>
        </w:tc>
        <w:tc>
          <w:tcPr>
            <w:tcW w:w="2268" w:type="dxa"/>
          </w:tcPr>
          <w:p w14:paraId="64F29DB9" w14:textId="01EBB635"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848 (0.734) *</w:t>
            </w:r>
            <w:r w:rsidR="00BF43DA">
              <w:rPr>
                <w:iCs/>
                <w:noProof/>
                <w:lang w:val="en-US"/>
              </w:rPr>
              <w:t>**</w:t>
            </w:r>
          </w:p>
        </w:tc>
      </w:tr>
      <w:tr w:rsidR="003A22A0" w:rsidRPr="00A33734" w14:paraId="5C9E2765" w14:textId="77777777" w:rsidTr="003A22A0">
        <w:tc>
          <w:tcPr>
            <w:tcW w:w="2694" w:type="dxa"/>
          </w:tcPr>
          <w:p w14:paraId="04295155" w14:textId="55F69EDB" w:rsidR="003A22A0" w:rsidRPr="00A33734" w:rsidRDefault="001169E4" w:rsidP="00110A1E">
            <w:pPr>
              <w:rPr>
                <w:iCs/>
                <w:noProof/>
                <w:lang w:val="en-US"/>
              </w:rPr>
            </w:pPr>
            <w:r>
              <w:rPr>
                <w:iCs/>
                <w:noProof/>
                <w:lang w:val="en-US"/>
              </w:rPr>
              <w:t>AFR</w:t>
            </w:r>
          </w:p>
        </w:tc>
        <w:tc>
          <w:tcPr>
            <w:tcW w:w="1984" w:type="dxa"/>
          </w:tcPr>
          <w:p w14:paraId="4021EF6A" w14:textId="77777777" w:rsidR="003A22A0" w:rsidRPr="00A33734" w:rsidRDefault="003A22A0" w:rsidP="00110A1E">
            <w:pPr>
              <w:rPr>
                <w:iCs/>
                <w:noProof/>
                <w:lang w:val="en-US"/>
              </w:rPr>
            </w:pPr>
            <w:r w:rsidRPr="00A33734">
              <w:rPr>
                <w:iCs/>
                <w:noProof/>
                <w:lang w:val="en-US"/>
              </w:rPr>
              <w:t>-</w:t>
            </w:r>
          </w:p>
        </w:tc>
        <w:tc>
          <w:tcPr>
            <w:tcW w:w="2126" w:type="dxa"/>
          </w:tcPr>
          <w:p w14:paraId="70EA7E8F" w14:textId="39AD1611" w:rsidR="003A22A0" w:rsidRPr="00A33734" w:rsidRDefault="003A22A0" w:rsidP="00110A1E">
            <w:pPr>
              <w:rPr>
                <w:iCs/>
                <w:noProof/>
                <w:lang w:val="en-US"/>
              </w:rPr>
            </w:pPr>
            <w:r w:rsidRPr="00A33734">
              <w:rPr>
                <w:iCs/>
                <w:noProof/>
                <w:lang w:val="en-US"/>
              </w:rPr>
              <w:t>-0</w:t>
            </w:r>
            <w:r w:rsidR="000273B1">
              <w:rPr>
                <w:iCs/>
                <w:noProof/>
                <w:lang w:val="en-US"/>
              </w:rPr>
              <w:t>.</w:t>
            </w:r>
            <w:r w:rsidRPr="00A33734">
              <w:rPr>
                <w:iCs/>
                <w:noProof/>
                <w:lang w:val="en-US"/>
              </w:rPr>
              <w:t>181 (0</w:t>
            </w:r>
            <w:r w:rsidR="000273B1">
              <w:rPr>
                <w:iCs/>
                <w:noProof/>
                <w:lang w:val="en-US"/>
              </w:rPr>
              <w:t>.</w:t>
            </w:r>
            <w:r w:rsidRPr="00A33734">
              <w:rPr>
                <w:iCs/>
                <w:noProof/>
                <w:lang w:val="en-US"/>
              </w:rPr>
              <w:t>953)</w:t>
            </w:r>
          </w:p>
        </w:tc>
        <w:tc>
          <w:tcPr>
            <w:tcW w:w="2268" w:type="dxa"/>
          </w:tcPr>
          <w:p w14:paraId="6F0637F8" w14:textId="33725032" w:rsidR="003A22A0" w:rsidRPr="00A33734" w:rsidRDefault="003A22A0" w:rsidP="00110A1E">
            <w:pPr>
              <w:rPr>
                <w:iCs/>
                <w:noProof/>
                <w:lang w:val="en-US"/>
              </w:rPr>
            </w:pPr>
            <w:r w:rsidRPr="00A33734">
              <w:rPr>
                <w:iCs/>
                <w:noProof/>
                <w:lang w:val="en-US"/>
              </w:rPr>
              <w:t>-0</w:t>
            </w:r>
            <w:r w:rsidR="000273B1">
              <w:rPr>
                <w:iCs/>
                <w:noProof/>
                <w:lang w:val="en-US"/>
              </w:rPr>
              <w:t>.</w:t>
            </w:r>
            <w:r w:rsidRPr="00A33734">
              <w:rPr>
                <w:iCs/>
                <w:noProof/>
                <w:lang w:val="en-US"/>
              </w:rPr>
              <w:t>220 (0</w:t>
            </w:r>
            <w:r w:rsidR="000273B1">
              <w:rPr>
                <w:iCs/>
                <w:noProof/>
                <w:lang w:val="en-US"/>
              </w:rPr>
              <w:t>.</w:t>
            </w:r>
            <w:r w:rsidRPr="00A33734">
              <w:rPr>
                <w:iCs/>
                <w:noProof/>
                <w:lang w:val="en-US"/>
              </w:rPr>
              <w:t>953)</w:t>
            </w:r>
          </w:p>
        </w:tc>
      </w:tr>
      <w:tr w:rsidR="003A22A0" w:rsidRPr="00A33734" w14:paraId="56A0751D" w14:textId="77777777" w:rsidTr="003A22A0">
        <w:tc>
          <w:tcPr>
            <w:tcW w:w="2694" w:type="dxa"/>
          </w:tcPr>
          <w:p w14:paraId="3A5A22BC" w14:textId="437B6E72" w:rsidR="003A22A0" w:rsidRPr="00A33734" w:rsidRDefault="001169E4" w:rsidP="00110A1E">
            <w:pPr>
              <w:rPr>
                <w:iCs/>
                <w:noProof/>
                <w:lang w:val="en-US"/>
              </w:rPr>
            </w:pPr>
            <w:r>
              <w:rPr>
                <w:iCs/>
                <w:noProof/>
                <w:lang w:val="en-US"/>
              </w:rPr>
              <w:t>SAD</w:t>
            </w:r>
          </w:p>
        </w:tc>
        <w:tc>
          <w:tcPr>
            <w:tcW w:w="1984" w:type="dxa"/>
          </w:tcPr>
          <w:p w14:paraId="2EF3665B" w14:textId="77777777" w:rsidR="003A22A0" w:rsidRPr="00A33734" w:rsidRDefault="003A22A0" w:rsidP="00110A1E">
            <w:pPr>
              <w:rPr>
                <w:iCs/>
                <w:noProof/>
                <w:lang w:val="en-US"/>
              </w:rPr>
            </w:pPr>
            <w:r w:rsidRPr="00A33734">
              <w:rPr>
                <w:iCs/>
                <w:noProof/>
                <w:lang w:val="en-US"/>
              </w:rPr>
              <w:t>-</w:t>
            </w:r>
          </w:p>
        </w:tc>
        <w:tc>
          <w:tcPr>
            <w:tcW w:w="2126" w:type="dxa"/>
          </w:tcPr>
          <w:p w14:paraId="4AAA85A7" w14:textId="16E88542"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252 (0</w:t>
            </w:r>
            <w:r w:rsidR="000273B1">
              <w:rPr>
                <w:iCs/>
                <w:noProof/>
                <w:lang w:val="en-US"/>
              </w:rPr>
              <w:t>.</w:t>
            </w:r>
            <w:r w:rsidRPr="00A33734">
              <w:rPr>
                <w:iCs/>
                <w:noProof/>
                <w:lang w:val="en-US"/>
              </w:rPr>
              <w:t>896) *</w:t>
            </w:r>
          </w:p>
        </w:tc>
        <w:tc>
          <w:tcPr>
            <w:tcW w:w="2268" w:type="dxa"/>
          </w:tcPr>
          <w:p w14:paraId="0AD63448" w14:textId="3197D81F"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243 (0</w:t>
            </w:r>
            <w:r w:rsidR="000273B1">
              <w:rPr>
                <w:iCs/>
                <w:noProof/>
                <w:lang w:val="en-US"/>
              </w:rPr>
              <w:t>.</w:t>
            </w:r>
            <w:r w:rsidRPr="00A33734">
              <w:rPr>
                <w:iCs/>
                <w:noProof/>
                <w:lang w:val="en-US"/>
              </w:rPr>
              <w:t>896) *</w:t>
            </w:r>
          </w:p>
        </w:tc>
      </w:tr>
      <w:tr w:rsidR="003A22A0" w:rsidRPr="00A33734" w14:paraId="5D8143A8" w14:textId="77777777" w:rsidTr="003A22A0">
        <w:tc>
          <w:tcPr>
            <w:tcW w:w="2694" w:type="dxa"/>
          </w:tcPr>
          <w:p w14:paraId="64B9B3E6" w14:textId="294ADDED" w:rsidR="003A22A0" w:rsidRPr="00A33734" w:rsidRDefault="001169E4" w:rsidP="00110A1E">
            <w:pPr>
              <w:rPr>
                <w:iCs/>
                <w:noProof/>
                <w:lang w:val="en-US"/>
              </w:rPr>
            </w:pPr>
            <w:r>
              <w:rPr>
                <w:iCs/>
                <w:noProof/>
                <w:lang w:val="en-US"/>
              </w:rPr>
              <w:t>SC</w:t>
            </w:r>
          </w:p>
        </w:tc>
        <w:tc>
          <w:tcPr>
            <w:tcW w:w="1984" w:type="dxa"/>
          </w:tcPr>
          <w:p w14:paraId="43375AA4" w14:textId="77777777" w:rsidR="003A22A0" w:rsidRPr="00A33734" w:rsidRDefault="003A22A0" w:rsidP="00110A1E">
            <w:pPr>
              <w:rPr>
                <w:iCs/>
                <w:noProof/>
                <w:lang w:val="en-US"/>
              </w:rPr>
            </w:pPr>
            <w:r w:rsidRPr="00A33734">
              <w:rPr>
                <w:iCs/>
                <w:noProof/>
                <w:lang w:val="en-US"/>
              </w:rPr>
              <w:t>-</w:t>
            </w:r>
          </w:p>
        </w:tc>
        <w:tc>
          <w:tcPr>
            <w:tcW w:w="2126" w:type="dxa"/>
          </w:tcPr>
          <w:p w14:paraId="3D9D287C" w14:textId="77777777" w:rsidR="003A22A0" w:rsidRPr="00A33734" w:rsidRDefault="003A22A0" w:rsidP="00110A1E">
            <w:pPr>
              <w:rPr>
                <w:iCs/>
                <w:noProof/>
                <w:lang w:val="en-US"/>
              </w:rPr>
            </w:pPr>
            <w:r w:rsidRPr="00A33734">
              <w:rPr>
                <w:iCs/>
                <w:noProof/>
                <w:lang w:val="en-US"/>
              </w:rPr>
              <w:t>-</w:t>
            </w:r>
          </w:p>
        </w:tc>
        <w:tc>
          <w:tcPr>
            <w:tcW w:w="2268" w:type="dxa"/>
          </w:tcPr>
          <w:p w14:paraId="5126EDE5" w14:textId="50B5D109" w:rsidR="003A22A0" w:rsidRPr="00A33734" w:rsidRDefault="003A22A0" w:rsidP="00110A1E">
            <w:pPr>
              <w:rPr>
                <w:iCs/>
                <w:noProof/>
                <w:lang w:val="en-US"/>
              </w:rPr>
            </w:pPr>
            <w:r w:rsidRPr="00A33734">
              <w:rPr>
                <w:iCs/>
                <w:noProof/>
                <w:lang w:val="en-US"/>
              </w:rPr>
              <w:t>25</w:t>
            </w:r>
            <w:r w:rsidR="000273B1">
              <w:rPr>
                <w:iCs/>
                <w:noProof/>
                <w:lang w:val="en-US"/>
              </w:rPr>
              <w:t>.</w:t>
            </w:r>
            <w:r w:rsidRPr="00A33734">
              <w:rPr>
                <w:iCs/>
                <w:noProof/>
                <w:lang w:val="en-US"/>
              </w:rPr>
              <w:t>602 (5</w:t>
            </w:r>
            <w:r w:rsidR="000273B1">
              <w:rPr>
                <w:iCs/>
                <w:noProof/>
                <w:lang w:val="en-US"/>
              </w:rPr>
              <w:t>.</w:t>
            </w:r>
            <w:r w:rsidRPr="00A33734">
              <w:rPr>
                <w:iCs/>
                <w:noProof/>
                <w:lang w:val="en-US"/>
              </w:rPr>
              <w:t>986) *</w:t>
            </w:r>
            <w:r w:rsidR="00BF43DA">
              <w:rPr>
                <w:iCs/>
                <w:noProof/>
                <w:lang w:val="en-US"/>
              </w:rPr>
              <w:t>**</w:t>
            </w:r>
          </w:p>
        </w:tc>
      </w:tr>
      <w:tr w:rsidR="003A22A0" w:rsidRPr="00A33734" w14:paraId="377161C0" w14:textId="77777777" w:rsidTr="003A22A0">
        <w:tc>
          <w:tcPr>
            <w:tcW w:w="2694" w:type="dxa"/>
          </w:tcPr>
          <w:p w14:paraId="430D593A" w14:textId="43F51AFB" w:rsidR="003A22A0" w:rsidRPr="00A33734" w:rsidRDefault="001169E4" w:rsidP="00110A1E">
            <w:pPr>
              <w:rPr>
                <w:iCs/>
                <w:noProof/>
                <w:lang w:val="en-US"/>
              </w:rPr>
            </w:pPr>
            <w:r>
              <w:rPr>
                <w:iCs/>
                <w:noProof/>
                <w:lang w:val="en-US"/>
              </w:rPr>
              <w:t>DTC</w:t>
            </w:r>
          </w:p>
        </w:tc>
        <w:tc>
          <w:tcPr>
            <w:tcW w:w="1984" w:type="dxa"/>
          </w:tcPr>
          <w:p w14:paraId="7224CDB3" w14:textId="77777777" w:rsidR="003A22A0" w:rsidRPr="00A33734" w:rsidRDefault="003A22A0" w:rsidP="00110A1E">
            <w:pPr>
              <w:rPr>
                <w:iCs/>
                <w:noProof/>
                <w:lang w:val="en-US"/>
              </w:rPr>
            </w:pPr>
            <w:r w:rsidRPr="00A33734">
              <w:rPr>
                <w:iCs/>
                <w:noProof/>
                <w:lang w:val="en-US"/>
              </w:rPr>
              <w:t>-</w:t>
            </w:r>
          </w:p>
        </w:tc>
        <w:tc>
          <w:tcPr>
            <w:tcW w:w="2126" w:type="dxa"/>
          </w:tcPr>
          <w:p w14:paraId="08F43EBF" w14:textId="77777777" w:rsidR="003A22A0" w:rsidRPr="00A33734" w:rsidRDefault="003A22A0" w:rsidP="00110A1E">
            <w:pPr>
              <w:rPr>
                <w:iCs/>
                <w:noProof/>
                <w:lang w:val="en-US"/>
              </w:rPr>
            </w:pPr>
            <w:r w:rsidRPr="00A33734">
              <w:rPr>
                <w:iCs/>
                <w:noProof/>
                <w:lang w:val="en-US"/>
              </w:rPr>
              <w:t>-</w:t>
            </w:r>
          </w:p>
        </w:tc>
        <w:tc>
          <w:tcPr>
            <w:tcW w:w="2268" w:type="dxa"/>
          </w:tcPr>
          <w:p w14:paraId="1D17DC76" w14:textId="2CADFF83"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824 (3</w:t>
            </w:r>
            <w:r w:rsidR="000273B1">
              <w:rPr>
                <w:iCs/>
                <w:noProof/>
                <w:lang w:val="en-US"/>
              </w:rPr>
              <w:t>.</w:t>
            </w:r>
            <w:r w:rsidRPr="00A33734">
              <w:rPr>
                <w:iCs/>
                <w:noProof/>
                <w:lang w:val="en-US"/>
              </w:rPr>
              <w:t>855)</w:t>
            </w:r>
          </w:p>
        </w:tc>
      </w:tr>
      <w:tr w:rsidR="003A22A0" w:rsidRPr="00A33734" w14:paraId="3E0FCD64" w14:textId="77777777" w:rsidTr="003A22A0">
        <w:trPr>
          <w:trHeight w:val="457"/>
        </w:trPr>
        <w:tc>
          <w:tcPr>
            <w:tcW w:w="2694" w:type="dxa"/>
          </w:tcPr>
          <w:p w14:paraId="13BFD626" w14:textId="2A3015E4" w:rsidR="003A22A0" w:rsidRPr="00A33734" w:rsidRDefault="001169E4" w:rsidP="00110A1E">
            <w:pPr>
              <w:rPr>
                <w:iCs/>
                <w:noProof/>
                <w:lang w:val="en-US"/>
              </w:rPr>
            </w:pPr>
            <w:r>
              <w:rPr>
                <w:iCs/>
                <w:noProof/>
                <w:lang w:val="en-US"/>
              </w:rPr>
              <w:t>SL</w:t>
            </w:r>
          </w:p>
        </w:tc>
        <w:tc>
          <w:tcPr>
            <w:tcW w:w="1984" w:type="dxa"/>
          </w:tcPr>
          <w:p w14:paraId="418729A6" w14:textId="77777777" w:rsidR="003A22A0" w:rsidRPr="00A33734" w:rsidRDefault="003A22A0" w:rsidP="00110A1E">
            <w:pPr>
              <w:rPr>
                <w:iCs/>
                <w:noProof/>
                <w:lang w:val="en-US"/>
              </w:rPr>
            </w:pPr>
            <w:r w:rsidRPr="00A33734">
              <w:rPr>
                <w:iCs/>
                <w:noProof/>
                <w:lang w:val="en-US"/>
              </w:rPr>
              <w:t>-</w:t>
            </w:r>
          </w:p>
        </w:tc>
        <w:tc>
          <w:tcPr>
            <w:tcW w:w="2126" w:type="dxa"/>
          </w:tcPr>
          <w:p w14:paraId="7955A7D5" w14:textId="77777777" w:rsidR="003A22A0" w:rsidRPr="00A33734" w:rsidRDefault="003A22A0" w:rsidP="00110A1E">
            <w:pPr>
              <w:rPr>
                <w:iCs/>
                <w:noProof/>
                <w:lang w:val="en-US"/>
              </w:rPr>
            </w:pPr>
            <w:r w:rsidRPr="00A33734">
              <w:rPr>
                <w:iCs/>
                <w:noProof/>
                <w:lang w:val="en-US"/>
              </w:rPr>
              <w:t>-</w:t>
            </w:r>
          </w:p>
        </w:tc>
        <w:tc>
          <w:tcPr>
            <w:tcW w:w="2268" w:type="dxa"/>
          </w:tcPr>
          <w:p w14:paraId="6614911C" w14:textId="07E33C1D" w:rsidR="003A22A0" w:rsidRPr="00A33734" w:rsidRDefault="003A22A0" w:rsidP="00110A1E">
            <w:pPr>
              <w:rPr>
                <w:iCs/>
                <w:noProof/>
                <w:lang w:val="en-US"/>
              </w:rPr>
            </w:pPr>
            <w:r w:rsidRPr="00A33734">
              <w:rPr>
                <w:iCs/>
                <w:noProof/>
                <w:lang w:val="en-US"/>
              </w:rPr>
              <w:t>23</w:t>
            </w:r>
            <w:r w:rsidR="000273B1">
              <w:rPr>
                <w:iCs/>
                <w:noProof/>
                <w:lang w:val="en-US"/>
              </w:rPr>
              <w:t>.</w:t>
            </w:r>
            <w:r w:rsidRPr="00A33734">
              <w:rPr>
                <w:iCs/>
                <w:noProof/>
                <w:lang w:val="en-US"/>
              </w:rPr>
              <w:t>916 (2</w:t>
            </w:r>
            <w:r w:rsidR="000273B1">
              <w:rPr>
                <w:iCs/>
                <w:noProof/>
                <w:lang w:val="en-US"/>
              </w:rPr>
              <w:t>.</w:t>
            </w:r>
            <w:r w:rsidRPr="00A33734">
              <w:rPr>
                <w:iCs/>
                <w:noProof/>
                <w:lang w:val="en-US"/>
              </w:rPr>
              <w:t>353) *</w:t>
            </w:r>
            <w:r w:rsidR="00BF43DA">
              <w:rPr>
                <w:iCs/>
                <w:noProof/>
                <w:lang w:val="en-US"/>
              </w:rPr>
              <w:t>**</w:t>
            </w:r>
          </w:p>
        </w:tc>
      </w:tr>
      <w:tr w:rsidR="003A22A0" w:rsidRPr="00A33734" w14:paraId="3BC2D12C" w14:textId="77777777" w:rsidTr="003A22A0">
        <w:tc>
          <w:tcPr>
            <w:tcW w:w="2694" w:type="dxa"/>
          </w:tcPr>
          <w:p w14:paraId="7F475695" w14:textId="77777777" w:rsidR="003A22A0" w:rsidRPr="00A33734" w:rsidRDefault="003A22A0" w:rsidP="00110A1E">
            <w:pPr>
              <w:rPr>
                <w:iCs/>
                <w:noProof/>
                <w:lang w:val="en-US"/>
              </w:rPr>
            </w:pPr>
            <w:r w:rsidRPr="00A33734">
              <w:rPr>
                <w:iCs/>
                <w:noProof/>
                <w:lang w:val="en-US"/>
              </w:rPr>
              <w:t>Between school Variance</w:t>
            </w:r>
          </w:p>
        </w:tc>
        <w:tc>
          <w:tcPr>
            <w:tcW w:w="1984" w:type="dxa"/>
          </w:tcPr>
          <w:p w14:paraId="6ED1897D" w14:textId="5F2A1079" w:rsidR="003A22A0" w:rsidRPr="00A33734" w:rsidRDefault="003A22A0" w:rsidP="00110A1E">
            <w:pPr>
              <w:rPr>
                <w:iCs/>
                <w:noProof/>
                <w:lang w:val="en-US"/>
              </w:rPr>
            </w:pPr>
            <w:r w:rsidRPr="00A33734">
              <w:rPr>
                <w:iCs/>
                <w:noProof/>
                <w:lang w:val="en-US"/>
              </w:rPr>
              <w:t>3</w:t>
            </w:r>
            <w:r w:rsidR="000273B1">
              <w:rPr>
                <w:iCs/>
                <w:noProof/>
                <w:lang w:val="en-US"/>
              </w:rPr>
              <w:t>,</w:t>
            </w:r>
            <w:r w:rsidRPr="00A33734">
              <w:rPr>
                <w:iCs/>
                <w:noProof/>
                <w:lang w:val="en-US"/>
              </w:rPr>
              <w:t>599</w:t>
            </w:r>
          </w:p>
        </w:tc>
        <w:tc>
          <w:tcPr>
            <w:tcW w:w="2126" w:type="dxa"/>
          </w:tcPr>
          <w:p w14:paraId="779467E2" w14:textId="1EDE1340" w:rsidR="003A22A0" w:rsidRPr="00A33734" w:rsidRDefault="003A22A0" w:rsidP="00110A1E">
            <w:pPr>
              <w:rPr>
                <w:iCs/>
                <w:noProof/>
                <w:lang w:val="en-US"/>
              </w:rPr>
            </w:pPr>
            <w:r w:rsidRPr="00A33734">
              <w:rPr>
                <w:iCs/>
                <w:noProof/>
                <w:lang w:val="en-US"/>
              </w:rPr>
              <w:t>3</w:t>
            </w:r>
            <w:r w:rsidR="000273B1">
              <w:rPr>
                <w:iCs/>
                <w:noProof/>
                <w:lang w:val="en-US"/>
              </w:rPr>
              <w:t>,</w:t>
            </w:r>
            <w:r w:rsidRPr="00A33734">
              <w:rPr>
                <w:iCs/>
                <w:noProof/>
                <w:lang w:val="en-US"/>
              </w:rPr>
              <w:t>495</w:t>
            </w:r>
          </w:p>
        </w:tc>
        <w:tc>
          <w:tcPr>
            <w:tcW w:w="2268" w:type="dxa"/>
          </w:tcPr>
          <w:p w14:paraId="13624376" w14:textId="28DAE5A7"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573</w:t>
            </w:r>
          </w:p>
        </w:tc>
      </w:tr>
      <w:tr w:rsidR="003A22A0" w:rsidRPr="00A33734" w14:paraId="71955338" w14:textId="77777777" w:rsidTr="003A22A0">
        <w:trPr>
          <w:trHeight w:val="443"/>
        </w:trPr>
        <w:tc>
          <w:tcPr>
            <w:tcW w:w="2694" w:type="dxa"/>
          </w:tcPr>
          <w:p w14:paraId="3BDF4D84" w14:textId="77777777" w:rsidR="003A22A0" w:rsidRPr="00A33734" w:rsidRDefault="003A22A0" w:rsidP="00110A1E">
            <w:pPr>
              <w:rPr>
                <w:iCs/>
                <w:noProof/>
                <w:lang w:val="en-US"/>
              </w:rPr>
            </w:pPr>
            <w:r w:rsidRPr="00A33734">
              <w:rPr>
                <w:iCs/>
                <w:noProof/>
                <w:lang w:val="en-US"/>
              </w:rPr>
              <w:t>Within-school variance</w:t>
            </w:r>
          </w:p>
        </w:tc>
        <w:tc>
          <w:tcPr>
            <w:tcW w:w="1984" w:type="dxa"/>
          </w:tcPr>
          <w:p w14:paraId="00AD9434" w14:textId="6BC6E69E"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585</w:t>
            </w:r>
          </w:p>
        </w:tc>
        <w:tc>
          <w:tcPr>
            <w:tcW w:w="2126" w:type="dxa"/>
          </w:tcPr>
          <w:p w14:paraId="1E1B3ACD" w14:textId="48953386"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553</w:t>
            </w:r>
          </w:p>
        </w:tc>
        <w:tc>
          <w:tcPr>
            <w:tcW w:w="2268" w:type="dxa"/>
          </w:tcPr>
          <w:p w14:paraId="15AB8EE3" w14:textId="70A902D2" w:rsidR="003A22A0" w:rsidRPr="00A33734" w:rsidRDefault="003A22A0" w:rsidP="00110A1E">
            <w:pPr>
              <w:rPr>
                <w:iCs/>
                <w:noProof/>
                <w:lang w:val="en-US"/>
              </w:rPr>
            </w:pPr>
            <w:r w:rsidRPr="00A33734">
              <w:rPr>
                <w:iCs/>
                <w:noProof/>
                <w:lang w:val="en-US"/>
              </w:rPr>
              <w:t>2</w:t>
            </w:r>
            <w:r w:rsidR="000273B1">
              <w:rPr>
                <w:iCs/>
                <w:noProof/>
                <w:lang w:val="en-US"/>
              </w:rPr>
              <w:t>,</w:t>
            </w:r>
            <w:r w:rsidRPr="00A33734">
              <w:rPr>
                <w:iCs/>
                <w:noProof/>
                <w:lang w:val="en-US"/>
              </w:rPr>
              <w:t>553</w:t>
            </w:r>
          </w:p>
        </w:tc>
      </w:tr>
      <w:tr w:rsidR="003A22A0" w:rsidRPr="00A33734" w14:paraId="09BBFE54" w14:textId="77777777" w:rsidTr="003A22A0">
        <w:tc>
          <w:tcPr>
            <w:tcW w:w="2694" w:type="dxa"/>
          </w:tcPr>
          <w:p w14:paraId="08A68F1C" w14:textId="77777777" w:rsidR="003A22A0" w:rsidRPr="00A33734" w:rsidRDefault="003A22A0" w:rsidP="00110A1E">
            <w:pPr>
              <w:rPr>
                <w:iCs/>
                <w:noProof/>
                <w:lang w:val="en-US"/>
              </w:rPr>
            </w:pPr>
            <w:r w:rsidRPr="00A33734">
              <w:rPr>
                <w:iCs/>
                <w:noProof/>
                <w:lang w:val="en-US"/>
              </w:rPr>
              <w:t>Variations explained</w:t>
            </w:r>
          </w:p>
        </w:tc>
        <w:tc>
          <w:tcPr>
            <w:tcW w:w="1984" w:type="dxa"/>
          </w:tcPr>
          <w:p w14:paraId="78CCD57F" w14:textId="77777777" w:rsidR="003A22A0" w:rsidRPr="00A33734" w:rsidRDefault="003A22A0" w:rsidP="00110A1E">
            <w:pPr>
              <w:rPr>
                <w:iCs/>
                <w:noProof/>
                <w:lang w:val="en-US"/>
              </w:rPr>
            </w:pPr>
          </w:p>
        </w:tc>
        <w:tc>
          <w:tcPr>
            <w:tcW w:w="2126" w:type="dxa"/>
          </w:tcPr>
          <w:p w14:paraId="65276F68" w14:textId="77777777" w:rsidR="003A22A0" w:rsidRPr="00A33734" w:rsidRDefault="003A22A0" w:rsidP="00110A1E">
            <w:pPr>
              <w:rPr>
                <w:iCs/>
                <w:noProof/>
                <w:lang w:val="en-US"/>
              </w:rPr>
            </w:pPr>
          </w:p>
        </w:tc>
        <w:tc>
          <w:tcPr>
            <w:tcW w:w="2268" w:type="dxa"/>
          </w:tcPr>
          <w:p w14:paraId="34E9D5CE" w14:textId="77777777" w:rsidR="003A22A0" w:rsidRPr="00A33734" w:rsidRDefault="003A22A0" w:rsidP="00110A1E">
            <w:pPr>
              <w:rPr>
                <w:iCs/>
                <w:noProof/>
                <w:lang w:val="en-US"/>
              </w:rPr>
            </w:pPr>
          </w:p>
        </w:tc>
      </w:tr>
      <w:tr w:rsidR="003A22A0" w:rsidRPr="00A33734" w14:paraId="2A236151" w14:textId="77777777" w:rsidTr="003A22A0">
        <w:tc>
          <w:tcPr>
            <w:tcW w:w="2694" w:type="dxa"/>
          </w:tcPr>
          <w:p w14:paraId="0C18A2BA" w14:textId="77777777" w:rsidR="003A22A0" w:rsidRPr="00A33734" w:rsidRDefault="003A22A0" w:rsidP="00110A1E">
            <w:pPr>
              <w:rPr>
                <w:iCs/>
                <w:noProof/>
                <w:lang w:val="en-US"/>
              </w:rPr>
            </w:pPr>
            <w:r w:rsidRPr="00A33734">
              <w:rPr>
                <w:iCs/>
                <w:noProof/>
                <w:lang w:val="en-US"/>
              </w:rPr>
              <w:t>School Level</w:t>
            </w:r>
          </w:p>
        </w:tc>
        <w:tc>
          <w:tcPr>
            <w:tcW w:w="1984" w:type="dxa"/>
          </w:tcPr>
          <w:p w14:paraId="2827749E" w14:textId="77777777" w:rsidR="003A22A0" w:rsidRPr="00A33734" w:rsidRDefault="003A22A0" w:rsidP="00110A1E">
            <w:pPr>
              <w:rPr>
                <w:iCs/>
                <w:noProof/>
                <w:lang w:val="en-US"/>
              </w:rPr>
            </w:pPr>
            <w:r w:rsidRPr="00A33734">
              <w:rPr>
                <w:iCs/>
                <w:noProof/>
                <w:lang w:val="en-US"/>
              </w:rPr>
              <w:t>-</w:t>
            </w:r>
          </w:p>
        </w:tc>
        <w:tc>
          <w:tcPr>
            <w:tcW w:w="2126" w:type="dxa"/>
          </w:tcPr>
          <w:p w14:paraId="0CB189F9" w14:textId="77777777" w:rsidR="003A22A0" w:rsidRPr="00A33734" w:rsidRDefault="003A22A0" w:rsidP="00110A1E">
            <w:pPr>
              <w:rPr>
                <w:iCs/>
                <w:noProof/>
                <w:lang w:val="en-US"/>
              </w:rPr>
            </w:pPr>
            <w:r w:rsidRPr="00A33734">
              <w:rPr>
                <w:iCs/>
                <w:noProof/>
                <w:lang w:val="en-US"/>
              </w:rPr>
              <w:t>0.029</w:t>
            </w:r>
          </w:p>
        </w:tc>
        <w:tc>
          <w:tcPr>
            <w:tcW w:w="2268" w:type="dxa"/>
          </w:tcPr>
          <w:p w14:paraId="1206CE41" w14:textId="77777777" w:rsidR="003A22A0" w:rsidRPr="00A33734" w:rsidRDefault="003A22A0" w:rsidP="00110A1E">
            <w:pPr>
              <w:rPr>
                <w:iCs/>
                <w:noProof/>
                <w:lang w:val="en-US"/>
              </w:rPr>
            </w:pPr>
            <w:r w:rsidRPr="00A33734">
              <w:rPr>
                <w:iCs/>
                <w:noProof/>
                <w:lang w:val="en-US"/>
              </w:rPr>
              <w:t>0.264</w:t>
            </w:r>
          </w:p>
        </w:tc>
      </w:tr>
      <w:tr w:rsidR="003A22A0" w:rsidRPr="00A33734" w14:paraId="6CAB228D" w14:textId="77777777" w:rsidTr="003A22A0">
        <w:tc>
          <w:tcPr>
            <w:tcW w:w="2694" w:type="dxa"/>
          </w:tcPr>
          <w:p w14:paraId="2A5921C4" w14:textId="77777777" w:rsidR="003A22A0" w:rsidRPr="00A33734" w:rsidRDefault="003A22A0" w:rsidP="00110A1E">
            <w:pPr>
              <w:rPr>
                <w:iCs/>
                <w:noProof/>
                <w:lang w:val="en-US"/>
              </w:rPr>
            </w:pPr>
            <w:r w:rsidRPr="00A33734">
              <w:rPr>
                <w:iCs/>
                <w:noProof/>
                <w:lang w:val="en-US"/>
              </w:rPr>
              <w:t>Student level</w:t>
            </w:r>
          </w:p>
        </w:tc>
        <w:tc>
          <w:tcPr>
            <w:tcW w:w="1984" w:type="dxa"/>
          </w:tcPr>
          <w:p w14:paraId="38711EAA" w14:textId="77777777" w:rsidR="003A22A0" w:rsidRPr="00A33734" w:rsidRDefault="003A22A0" w:rsidP="00110A1E">
            <w:pPr>
              <w:rPr>
                <w:iCs/>
                <w:noProof/>
                <w:lang w:val="en-US"/>
              </w:rPr>
            </w:pPr>
            <w:r w:rsidRPr="00A33734">
              <w:rPr>
                <w:iCs/>
                <w:noProof/>
                <w:lang w:val="en-US"/>
              </w:rPr>
              <w:t>-</w:t>
            </w:r>
          </w:p>
        </w:tc>
        <w:tc>
          <w:tcPr>
            <w:tcW w:w="2126" w:type="dxa"/>
          </w:tcPr>
          <w:p w14:paraId="66B23E04" w14:textId="77777777" w:rsidR="003A22A0" w:rsidRPr="00A33734" w:rsidRDefault="003A22A0" w:rsidP="00110A1E">
            <w:pPr>
              <w:rPr>
                <w:iCs/>
                <w:noProof/>
                <w:lang w:val="en-US"/>
              </w:rPr>
            </w:pPr>
            <w:r w:rsidRPr="00A33734">
              <w:rPr>
                <w:iCs/>
                <w:noProof/>
                <w:lang w:val="en-US"/>
              </w:rPr>
              <w:t>0.012</w:t>
            </w:r>
          </w:p>
        </w:tc>
        <w:tc>
          <w:tcPr>
            <w:tcW w:w="2268" w:type="dxa"/>
          </w:tcPr>
          <w:p w14:paraId="5F020C9F" w14:textId="77777777" w:rsidR="003A22A0" w:rsidRPr="00A33734" w:rsidRDefault="003A22A0" w:rsidP="00110A1E">
            <w:pPr>
              <w:rPr>
                <w:iCs/>
                <w:noProof/>
                <w:lang w:val="en-US"/>
              </w:rPr>
            </w:pPr>
            <w:r w:rsidRPr="00A33734">
              <w:rPr>
                <w:iCs/>
                <w:noProof/>
                <w:lang w:val="en-US"/>
              </w:rPr>
              <w:t>-</w:t>
            </w:r>
          </w:p>
        </w:tc>
      </w:tr>
      <w:tr w:rsidR="003A22A0" w:rsidRPr="00A33734" w14:paraId="5204B283" w14:textId="77777777" w:rsidTr="00286788">
        <w:tc>
          <w:tcPr>
            <w:tcW w:w="2694" w:type="dxa"/>
          </w:tcPr>
          <w:p w14:paraId="7C595F8C" w14:textId="77777777" w:rsidR="003A22A0" w:rsidRPr="00A33734" w:rsidRDefault="003A22A0" w:rsidP="00110A1E">
            <w:pPr>
              <w:rPr>
                <w:iCs/>
                <w:noProof/>
                <w:lang w:val="en-US"/>
              </w:rPr>
            </w:pPr>
            <w:r w:rsidRPr="00A33734">
              <w:rPr>
                <w:iCs/>
                <w:noProof/>
                <w:lang w:val="en-US"/>
              </w:rPr>
              <w:t>Total</w:t>
            </w:r>
          </w:p>
        </w:tc>
        <w:tc>
          <w:tcPr>
            <w:tcW w:w="1984" w:type="dxa"/>
          </w:tcPr>
          <w:p w14:paraId="0BB38675" w14:textId="77777777" w:rsidR="003A22A0" w:rsidRPr="00A33734" w:rsidRDefault="003A22A0" w:rsidP="00110A1E">
            <w:pPr>
              <w:rPr>
                <w:iCs/>
                <w:noProof/>
                <w:lang w:val="en-US"/>
              </w:rPr>
            </w:pPr>
            <w:r w:rsidRPr="00A33734">
              <w:rPr>
                <w:iCs/>
                <w:noProof/>
                <w:lang w:val="en-US"/>
              </w:rPr>
              <w:t>-</w:t>
            </w:r>
          </w:p>
        </w:tc>
        <w:tc>
          <w:tcPr>
            <w:tcW w:w="2126" w:type="dxa"/>
          </w:tcPr>
          <w:p w14:paraId="0139EF14" w14:textId="77777777" w:rsidR="003A22A0" w:rsidRPr="00A33734" w:rsidRDefault="003A22A0" w:rsidP="00110A1E">
            <w:pPr>
              <w:rPr>
                <w:iCs/>
                <w:noProof/>
                <w:lang w:val="en-US"/>
              </w:rPr>
            </w:pPr>
            <w:r w:rsidRPr="00A33734">
              <w:rPr>
                <w:iCs/>
                <w:noProof/>
                <w:lang w:val="en-US"/>
              </w:rPr>
              <w:t>0.022</w:t>
            </w:r>
          </w:p>
        </w:tc>
        <w:tc>
          <w:tcPr>
            <w:tcW w:w="2268" w:type="dxa"/>
          </w:tcPr>
          <w:p w14:paraId="26958B10" w14:textId="77777777" w:rsidR="003A22A0" w:rsidRPr="00A33734" w:rsidRDefault="003A22A0" w:rsidP="00110A1E">
            <w:pPr>
              <w:rPr>
                <w:iCs/>
                <w:noProof/>
                <w:lang w:val="en-US"/>
              </w:rPr>
            </w:pPr>
            <w:r w:rsidRPr="00A33734">
              <w:rPr>
                <w:iCs/>
                <w:noProof/>
                <w:lang w:val="en-US"/>
              </w:rPr>
              <w:t>.152</w:t>
            </w:r>
          </w:p>
        </w:tc>
      </w:tr>
      <w:tr w:rsidR="00286788" w:rsidRPr="00A33734" w14:paraId="1C35CD51" w14:textId="77777777" w:rsidTr="00286788">
        <w:tc>
          <w:tcPr>
            <w:tcW w:w="2694" w:type="dxa"/>
          </w:tcPr>
          <w:p w14:paraId="50A25E09" w14:textId="05BFAF00" w:rsidR="00286788" w:rsidRPr="00A33734" w:rsidRDefault="00286788" w:rsidP="00110A1E">
            <w:pPr>
              <w:rPr>
                <w:iCs/>
                <w:noProof/>
                <w:lang w:val="en-US"/>
              </w:rPr>
            </w:pPr>
            <w:r>
              <w:rPr>
                <w:iCs/>
                <w:noProof/>
                <w:lang w:val="en-US"/>
              </w:rPr>
              <w:t>AIC</w:t>
            </w:r>
          </w:p>
        </w:tc>
        <w:tc>
          <w:tcPr>
            <w:tcW w:w="1984" w:type="dxa"/>
          </w:tcPr>
          <w:p w14:paraId="7FFE6684" w14:textId="65FD81E6" w:rsidR="00286788" w:rsidRPr="00A33734" w:rsidRDefault="00286788" w:rsidP="00110A1E">
            <w:pPr>
              <w:rPr>
                <w:iCs/>
                <w:noProof/>
                <w:lang w:val="en-US"/>
              </w:rPr>
            </w:pPr>
            <w:r w:rsidRPr="00286788">
              <w:rPr>
                <w:iCs/>
                <w:noProof/>
                <w:lang w:val="en-US"/>
              </w:rPr>
              <w:t>100</w:t>
            </w:r>
            <w:r>
              <w:rPr>
                <w:iCs/>
                <w:noProof/>
                <w:lang w:val="en-US"/>
              </w:rPr>
              <w:t>,</w:t>
            </w:r>
            <w:r w:rsidRPr="00286788">
              <w:rPr>
                <w:iCs/>
                <w:noProof/>
                <w:lang w:val="en-US"/>
              </w:rPr>
              <w:t>246</w:t>
            </w:r>
          </w:p>
        </w:tc>
        <w:tc>
          <w:tcPr>
            <w:tcW w:w="2126" w:type="dxa"/>
          </w:tcPr>
          <w:p w14:paraId="5DAFE1B1" w14:textId="7E939399" w:rsidR="00286788" w:rsidRPr="00A33734" w:rsidRDefault="00286788" w:rsidP="00110A1E">
            <w:pPr>
              <w:rPr>
                <w:iCs/>
                <w:noProof/>
                <w:lang w:val="en-US"/>
              </w:rPr>
            </w:pPr>
            <w:r w:rsidRPr="00286788">
              <w:rPr>
                <w:iCs/>
                <w:noProof/>
                <w:lang w:val="en-US"/>
              </w:rPr>
              <w:t>100</w:t>
            </w:r>
            <w:r>
              <w:rPr>
                <w:iCs/>
                <w:noProof/>
                <w:lang w:val="en-US"/>
              </w:rPr>
              <w:t>,</w:t>
            </w:r>
            <w:r w:rsidRPr="00286788">
              <w:rPr>
                <w:iCs/>
                <w:noProof/>
                <w:lang w:val="en-US"/>
              </w:rPr>
              <w:t>135</w:t>
            </w:r>
          </w:p>
        </w:tc>
        <w:tc>
          <w:tcPr>
            <w:tcW w:w="2268" w:type="dxa"/>
          </w:tcPr>
          <w:p w14:paraId="3F723A5D" w14:textId="4F442F56" w:rsidR="00286788" w:rsidRPr="00A33734" w:rsidRDefault="00286788" w:rsidP="00110A1E">
            <w:pPr>
              <w:rPr>
                <w:iCs/>
                <w:noProof/>
                <w:lang w:val="en-US"/>
              </w:rPr>
            </w:pPr>
            <w:r w:rsidRPr="00286788">
              <w:rPr>
                <w:iCs/>
                <w:noProof/>
                <w:lang w:val="en-US"/>
              </w:rPr>
              <w:t>100</w:t>
            </w:r>
            <w:r>
              <w:rPr>
                <w:iCs/>
                <w:noProof/>
                <w:lang w:val="en-US"/>
              </w:rPr>
              <w:t>,</w:t>
            </w:r>
            <w:r w:rsidRPr="00286788">
              <w:rPr>
                <w:iCs/>
                <w:noProof/>
                <w:lang w:val="en-US"/>
              </w:rPr>
              <w:t>040</w:t>
            </w:r>
          </w:p>
        </w:tc>
      </w:tr>
      <w:tr w:rsidR="00286788" w:rsidRPr="00A33734" w14:paraId="2EFC7CAC" w14:textId="77777777" w:rsidTr="003A22A0">
        <w:tc>
          <w:tcPr>
            <w:tcW w:w="2694" w:type="dxa"/>
            <w:tcBorders>
              <w:bottom w:val="single" w:sz="4" w:space="0" w:color="auto"/>
            </w:tcBorders>
          </w:tcPr>
          <w:p w14:paraId="312D27E8" w14:textId="54652811" w:rsidR="00286788" w:rsidRDefault="00286788" w:rsidP="00110A1E">
            <w:pPr>
              <w:rPr>
                <w:iCs/>
                <w:noProof/>
                <w:lang w:val="en-US"/>
              </w:rPr>
            </w:pPr>
            <w:r>
              <w:rPr>
                <w:iCs/>
                <w:noProof/>
                <w:lang w:val="en-US"/>
              </w:rPr>
              <w:t>BIC</w:t>
            </w:r>
          </w:p>
        </w:tc>
        <w:tc>
          <w:tcPr>
            <w:tcW w:w="1984" w:type="dxa"/>
            <w:tcBorders>
              <w:bottom w:val="single" w:sz="4" w:space="0" w:color="auto"/>
            </w:tcBorders>
          </w:tcPr>
          <w:p w14:paraId="2C60AFCC" w14:textId="496D3B95" w:rsidR="00286788" w:rsidRPr="00A33734" w:rsidRDefault="00286788" w:rsidP="00110A1E">
            <w:pPr>
              <w:rPr>
                <w:iCs/>
                <w:noProof/>
                <w:lang w:val="en-US"/>
              </w:rPr>
            </w:pPr>
            <w:r w:rsidRPr="00286788">
              <w:rPr>
                <w:iCs/>
                <w:noProof/>
                <w:lang w:val="en-US"/>
              </w:rPr>
              <w:t>100</w:t>
            </w:r>
            <w:r>
              <w:rPr>
                <w:iCs/>
                <w:noProof/>
                <w:lang w:val="en-US"/>
              </w:rPr>
              <w:t>,</w:t>
            </w:r>
            <w:r w:rsidRPr="00286788">
              <w:rPr>
                <w:iCs/>
                <w:noProof/>
                <w:lang w:val="en-US"/>
              </w:rPr>
              <w:t>267</w:t>
            </w:r>
          </w:p>
        </w:tc>
        <w:tc>
          <w:tcPr>
            <w:tcW w:w="2126" w:type="dxa"/>
            <w:tcBorders>
              <w:bottom w:val="single" w:sz="4" w:space="0" w:color="auto"/>
            </w:tcBorders>
          </w:tcPr>
          <w:p w14:paraId="1444E7A6" w14:textId="7E9257EE" w:rsidR="00286788" w:rsidRPr="00A33734" w:rsidRDefault="00286788" w:rsidP="00110A1E">
            <w:pPr>
              <w:rPr>
                <w:iCs/>
                <w:noProof/>
                <w:lang w:val="en-US"/>
              </w:rPr>
            </w:pPr>
            <w:r w:rsidRPr="00286788">
              <w:rPr>
                <w:iCs/>
                <w:noProof/>
                <w:lang w:val="en-US"/>
              </w:rPr>
              <w:t>100</w:t>
            </w:r>
            <w:r>
              <w:rPr>
                <w:iCs/>
                <w:noProof/>
                <w:lang w:val="en-US"/>
              </w:rPr>
              <w:t>,</w:t>
            </w:r>
            <w:r w:rsidRPr="00286788">
              <w:rPr>
                <w:iCs/>
                <w:noProof/>
                <w:lang w:val="en-US"/>
              </w:rPr>
              <w:t>227</w:t>
            </w:r>
          </w:p>
        </w:tc>
        <w:tc>
          <w:tcPr>
            <w:tcW w:w="2268" w:type="dxa"/>
            <w:tcBorders>
              <w:bottom w:val="single" w:sz="4" w:space="0" w:color="auto"/>
            </w:tcBorders>
          </w:tcPr>
          <w:p w14:paraId="32778A2C" w14:textId="05D8C30C" w:rsidR="00286788" w:rsidRPr="00A33734" w:rsidRDefault="00286788" w:rsidP="00110A1E">
            <w:pPr>
              <w:rPr>
                <w:iCs/>
                <w:noProof/>
                <w:lang w:val="en-US"/>
              </w:rPr>
            </w:pPr>
            <w:r w:rsidRPr="00286788">
              <w:rPr>
                <w:iCs/>
                <w:noProof/>
                <w:lang w:val="en-US"/>
              </w:rPr>
              <w:t>100</w:t>
            </w:r>
            <w:r>
              <w:rPr>
                <w:iCs/>
                <w:noProof/>
                <w:lang w:val="en-US"/>
              </w:rPr>
              <w:t>,</w:t>
            </w:r>
            <w:r w:rsidRPr="00286788">
              <w:rPr>
                <w:iCs/>
                <w:noProof/>
                <w:lang w:val="en-US"/>
              </w:rPr>
              <w:t>154</w:t>
            </w:r>
          </w:p>
        </w:tc>
      </w:tr>
    </w:tbl>
    <w:p w14:paraId="19413ECB" w14:textId="438410CE" w:rsidR="003A22A0" w:rsidRPr="008D6A9F" w:rsidRDefault="003A22A0" w:rsidP="003A22A0">
      <w:pPr>
        <w:spacing w:after="240"/>
        <w:ind w:left="142"/>
        <w:rPr>
          <w:i/>
          <w:noProof/>
          <w:lang w:val="en-US"/>
        </w:rPr>
      </w:pPr>
      <w:r w:rsidRPr="008D6A9F">
        <w:rPr>
          <w:i/>
          <w:noProof/>
          <w:lang w:val="en-US"/>
        </w:rPr>
        <w:t xml:space="preserve">Note: </w:t>
      </w:r>
      <w:r w:rsidR="00286788" w:rsidRPr="00286788">
        <w:rPr>
          <w:i/>
          <w:iCs/>
        </w:rPr>
        <w:t>***p&lt;0.001, **p&lt;0.01, *p&lt;0.05</w:t>
      </w:r>
    </w:p>
    <w:p w14:paraId="209FBE84" w14:textId="3534D3D0" w:rsidR="00ED453A" w:rsidRPr="00ED453A" w:rsidRDefault="006679B3" w:rsidP="00ED453A">
      <w:pPr>
        <w:pStyle w:val="BodytextIndented"/>
        <w:rPr>
          <w:noProof/>
          <w:lang w:eastAsia="en-ID"/>
        </w:rPr>
      </w:pPr>
      <w:r>
        <w:rPr>
          <w:noProof/>
          <w:lang w:eastAsia="en-ID"/>
        </w:rPr>
        <w:t>M</w:t>
      </w:r>
      <w:r w:rsidR="00ED453A" w:rsidRPr="00ED453A">
        <w:rPr>
          <w:noProof/>
          <w:lang w:eastAsia="en-ID"/>
        </w:rPr>
        <w:t xml:space="preserve">ultilevel modeling </w:t>
      </w:r>
      <w:r>
        <w:rPr>
          <w:noProof/>
          <w:lang w:eastAsia="en-ID"/>
        </w:rPr>
        <w:t xml:space="preserve">results </w:t>
      </w:r>
      <w:r w:rsidR="00ED453A" w:rsidRPr="00ED453A">
        <w:rPr>
          <w:noProof/>
          <w:lang w:eastAsia="en-ID"/>
        </w:rPr>
        <w:t xml:space="preserve">also answered the second and third questions namely "which factors are statistically significant for predicting mathematics scores?" and "which factors are the strongest predictors for explaining mathematics scores in the final multilevel model". </w:t>
      </w:r>
      <w:r>
        <w:rPr>
          <w:noProof/>
          <w:lang w:eastAsia="en-ID"/>
        </w:rPr>
        <w:t>The s</w:t>
      </w:r>
      <w:r w:rsidR="00ED453A" w:rsidRPr="00ED453A">
        <w:rPr>
          <w:noProof/>
          <w:lang w:eastAsia="en-ID"/>
        </w:rPr>
        <w:t>ignificant factors for student level include life satisfaction, happy, liv</w:t>
      </w:r>
      <w:r w:rsidR="008D6A9F" w:rsidRPr="008D6A9F">
        <w:rPr>
          <w:noProof/>
          <w:lang w:eastAsia="en-ID"/>
        </w:rPr>
        <w:t>e</w:t>
      </w:r>
      <w:r w:rsidR="00ED453A" w:rsidRPr="00ED453A">
        <w:rPr>
          <w:noProof/>
          <w:lang w:eastAsia="en-ID"/>
        </w:rPr>
        <w:t xml:space="preserve">ly, prude, scared, miserable and sad. </w:t>
      </w:r>
      <w:r>
        <w:rPr>
          <w:noProof/>
          <w:lang w:eastAsia="en-ID"/>
        </w:rPr>
        <w:t xml:space="preserve">The significant factors </w:t>
      </w:r>
      <w:r w:rsidR="00ED453A" w:rsidRPr="00ED453A">
        <w:rPr>
          <w:noProof/>
          <w:lang w:eastAsia="en-ID"/>
        </w:rPr>
        <w:t xml:space="preserve">for the school level </w:t>
      </w:r>
      <w:r>
        <w:rPr>
          <w:noProof/>
          <w:lang w:eastAsia="en-ID"/>
        </w:rPr>
        <w:t>are</w:t>
      </w:r>
      <w:r w:rsidR="00ED453A" w:rsidRPr="00ED453A">
        <w:rPr>
          <w:noProof/>
          <w:lang w:eastAsia="en-ID"/>
        </w:rPr>
        <w:t xml:space="preserve"> the school category and school environment located. Then out of the nine significant predictors, the biggest influence was found on the school level variable, namely the school category followed by the school environment located. These results are similar to studies that reveal that </w:t>
      </w:r>
      <w:r>
        <w:rPr>
          <w:noProof/>
          <w:lang w:eastAsia="en-ID"/>
        </w:rPr>
        <w:t xml:space="preserve">the </w:t>
      </w:r>
      <w:r w:rsidR="00ED453A" w:rsidRPr="00ED453A">
        <w:rPr>
          <w:noProof/>
          <w:lang w:eastAsia="en-ID"/>
        </w:rPr>
        <w:t xml:space="preserve">school background can influence </w:t>
      </w:r>
      <w:r>
        <w:rPr>
          <w:noProof/>
          <w:lang w:eastAsia="en-ID"/>
        </w:rPr>
        <w:t xml:space="preserve">the </w:t>
      </w:r>
      <w:r w:rsidR="00ED453A" w:rsidRPr="00ED453A">
        <w:rPr>
          <w:noProof/>
          <w:lang w:eastAsia="en-ID"/>
        </w:rPr>
        <w:t xml:space="preserve">student performance </w:t>
      </w:r>
      <w:r w:rsidR="00ED453A" w:rsidRPr="00ED453A">
        <w:rPr>
          <w:noProof/>
          <w:lang w:eastAsia="en-ID"/>
        </w:rPr>
        <w:fldChar w:fldCharType="begin" w:fldLock="1"/>
      </w:r>
      <w:r w:rsidR="00985095">
        <w:rPr>
          <w:noProof/>
          <w:lang w:eastAsia="en-ID"/>
        </w:rPr>
        <w:instrText>ADDIN CSL_CITATION {"citationItems":[{"id":"ITEM-1","itemData":{"DOI":"https://doi.org/10.1787/5k4818hwp89v-en","author":[{"dropping-particle":"","family":"OECD","given":"","non-dropping-particle":"","parse-names":false,"suffix":""}],"container-title":"PISA in Focus","id":"ITEM-1","issue":"No. 27","issued":{"date-parts":[["2013"]]},"publisher":"OECD Publishing","publisher-place":"Paris","title":"Does it matter which school a student attends ?","type":"book"},"uris":["http://www.mendeley.com/documents/?uuid=03a659e3-ccff-4578-b19c-d03ac171cd31"]},{"id":"ITEM-2","itemData":{"DOI":"10.1007/s13394-018-0251-9","ISSN":"2211050X","abstract":"In many countries, there is pressure for schools to increase student engagement and skills in mathematics, in particular for disadvantaged students. This is certainly true in Australia. This study repurposes school level data to examine patterns of participation and achievement in senior secondary school mathematics in Victoria, Australia. It confirms that school socioeconomic status (SES) is strongly tied to participation and achievement in these subjects, and that nonmetropolitan schools tend to perform more poorly than metropolitan schools in these areas. It shows that nonmetropolitan schools are less likely to offer advanced mathematics subjects than metropolitan schools, and where they do, their students are less likely to choose those options. This study also reveals that correlations between mathematics performance and SES are far weaker in the nonmetropolitan school population than the metropolitan school population. This suggests that a nonmetropolitan location has a moderating effect on the impact of SES, pointing the way for potentially fruitful lines of future inquiry.","author":[{"dropping-particle":"","family":"Murphy","given":"Steve","non-dropping-particle":"","parse-names":false,"suffix":""}],"container-title":"Mathematics Education Research Journal","id":"ITEM-2","issue":"3","issued":{"date-parts":[["2019"]]},"page":"219-235","publisher":"Mathematics Education Research Journal","title":"School location and socioeconomic status and patterns of participation and achievement in senior secondary mathematics","type":"article-journal","volume":"31"},"uris":["http://www.mendeley.com/documents/?uuid=8552cc88-f5ac-461a-9618-4b455deadd60"]},{"id":"ITEM-3","itemData":{"DOI":"10.1787/5k46l8w342jc-en","author":[{"dropping-particle":"","family":"OECD","given":"","non-dropping-particle":"","parse-names":false,"suffix":""}],"container-title":"PISA in Focus","id":"ITEM-3","issued":{"date-parts":[["2013"]]},"publisher":"OECD Publishing","publisher-place":"Paris","title":"What makes urban schools different?","type":"book","volume":"No. 28"},"uris":["http://www.mendeley.com/documents/?uuid=cd4532f9-c2a9-4067-a811-d931aec62d63"]}],"mendeley":{"formattedCitation":"(Murphy, 2019; OECD, 2013a, 2013b)","manualFormatting":"[9, 10]","plainTextFormattedCitation":"(Murphy, 2019; OECD, 2013a, 2013b)","previouslyFormattedCitation":"(Murphy, 2019; OECD, 2013a, 2013b)"},"properties":{"noteIndex":0},"schema":"https://github.com/citation-style-language/schema/raw/master/csl-citation.json"}</w:instrText>
      </w:r>
      <w:r w:rsidR="00ED453A" w:rsidRPr="00ED453A">
        <w:rPr>
          <w:noProof/>
          <w:lang w:eastAsia="en-ID"/>
        </w:rPr>
        <w:fldChar w:fldCharType="separate"/>
      </w:r>
      <w:r w:rsidR="008D6A9F" w:rsidRPr="008D6A9F">
        <w:rPr>
          <w:noProof/>
          <w:lang w:eastAsia="en-ID"/>
        </w:rPr>
        <w:t>[</w:t>
      </w:r>
      <w:r w:rsidR="001A70D3" w:rsidRPr="008D6A9F">
        <w:rPr>
          <w:noProof/>
          <w:lang w:eastAsia="en-ID"/>
        </w:rPr>
        <w:t>9</w:t>
      </w:r>
      <w:r w:rsidR="00ED453A" w:rsidRPr="00ED453A">
        <w:rPr>
          <w:noProof/>
          <w:lang w:eastAsia="en-ID"/>
        </w:rPr>
        <w:t xml:space="preserve">, </w:t>
      </w:r>
      <w:r w:rsidR="008D6A9F" w:rsidRPr="008D6A9F">
        <w:rPr>
          <w:noProof/>
          <w:lang w:eastAsia="en-ID"/>
        </w:rPr>
        <w:t>10]</w:t>
      </w:r>
      <w:r w:rsidR="00ED453A" w:rsidRPr="00ED453A">
        <w:rPr>
          <w:noProof/>
          <w:lang w:eastAsia="en-ID"/>
        </w:rPr>
        <w:fldChar w:fldCharType="end"/>
      </w:r>
      <w:r w:rsidR="00ED453A" w:rsidRPr="00ED453A">
        <w:rPr>
          <w:noProof/>
          <w:lang w:eastAsia="en-ID"/>
        </w:rPr>
        <w:t>.</w:t>
      </w:r>
    </w:p>
    <w:p w14:paraId="2B5C9DAE" w14:textId="0C2E5EF4" w:rsidR="00ED453A" w:rsidRPr="006961B9" w:rsidRDefault="00ED453A" w:rsidP="00ED453A">
      <w:pPr>
        <w:pStyle w:val="BodytextIndented"/>
        <w:rPr>
          <w:strike/>
          <w:noProof/>
          <w:lang w:eastAsia="en-ID"/>
        </w:rPr>
      </w:pPr>
      <w:r w:rsidRPr="00ED453A">
        <w:rPr>
          <w:noProof/>
          <w:lang w:eastAsia="en-ID"/>
        </w:rPr>
        <w:t xml:space="preserve">From this study </w:t>
      </w:r>
      <w:r w:rsidR="006961B9">
        <w:rPr>
          <w:noProof/>
          <w:lang w:eastAsia="en-ID"/>
        </w:rPr>
        <w:t xml:space="preserve">it is </w:t>
      </w:r>
      <w:r w:rsidRPr="00ED453A">
        <w:rPr>
          <w:noProof/>
          <w:lang w:eastAsia="en-ID"/>
        </w:rPr>
        <w:t>inform</w:t>
      </w:r>
      <w:r w:rsidR="006961B9">
        <w:rPr>
          <w:noProof/>
          <w:lang w:eastAsia="en-ID"/>
        </w:rPr>
        <w:t>ed that</w:t>
      </w:r>
      <w:r w:rsidRPr="00ED453A">
        <w:rPr>
          <w:noProof/>
          <w:lang w:eastAsia="en-ID"/>
        </w:rPr>
        <w:t xml:space="preserve"> non-cognitive aspects can </w:t>
      </w:r>
      <w:r w:rsidR="006961B9">
        <w:rPr>
          <w:noProof/>
          <w:lang w:eastAsia="en-ID"/>
        </w:rPr>
        <w:t>affect</w:t>
      </w:r>
      <w:r w:rsidRPr="00ED453A">
        <w:rPr>
          <w:noProof/>
          <w:lang w:eastAsia="en-ID"/>
        </w:rPr>
        <w:t xml:space="preserve"> the achievement of students' mathematics scores. Students who feel happier and more scared in their lives </w:t>
      </w:r>
      <w:r w:rsidR="006961B9">
        <w:rPr>
          <w:noProof/>
          <w:lang w:eastAsia="en-ID"/>
        </w:rPr>
        <w:t xml:space="preserve">are getting </w:t>
      </w:r>
      <w:r w:rsidRPr="00ED453A">
        <w:rPr>
          <w:noProof/>
          <w:lang w:eastAsia="en-ID"/>
        </w:rPr>
        <w:t xml:space="preserve">higher math scores. </w:t>
      </w:r>
      <w:r w:rsidR="00A9764F">
        <w:rPr>
          <w:noProof/>
          <w:lang w:eastAsia="en-ID"/>
        </w:rPr>
        <w:t>Whereas,</w:t>
      </w:r>
      <w:r w:rsidRPr="00ED453A">
        <w:rPr>
          <w:noProof/>
          <w:lang w:eastAsia="en-ID"/>
        </w:rPr>
        <w:t xml:space="preserve"> for </w:t>
      </w:r>
      <w:r w:rsidR="00A9764F">
        <w:rPr>
          <w:noProof/>
          <w:lang w:eastAsia="en-ID"/>
        </w:rPr>
        <w:t>those</w:t>
      </w:r>
      <w:r w:rsidRPr="00ED453A">
        <w:rPr>
          <w:noProof/>
          <w:lang w:eastAsia="en-ID"/>
        </w:rPr>
        <w:t xml:space="preserve"> who are more satisfied in life, joyful, proud, miserable, and sad will </w:t>
      </w:r>
      <w:r w:rsidR="00A9764F">
        <w:rPr>
          <w:noProof/>
          <w:lang w:eastAsia="en-ID"/>
        </w:rPr>
        <w:t>get lower</w:t>
      </w:r>
      <w:r w:rsidRPr="00ED453A">
        <w:rPr>
          <w:noProof/>
          <w:lang w:eastAsia="en-ID"/>
        </w:rPr>
        <w:t xml:space="preserve"> mathematics scores.</w:t>
      </w:r>
    </w:p>
    <w:p w14:paraId="1B19D9E1" w14:textId="1658A6F8" w:rsidR="00ED453A" w:rsidRPr="00ED453A" w:rsidRDefault="006961B9" w:rsidP="00ED453A">
      <w:pPr>
        <w:pStyle w:val="BodytextIndented"/>
        <w:rPr>
          <w:noProof/>
          <w:lang w:eastAsia="en-ID"/>
        </w:rPr>
      </w:pPr>
      <w:r>
        <w:rPr>
          <w:noProof/>
          <w:lang w:eastAsia="en-ID"/>
        </w:rPr>
        <w:t>The</w:t>
      </w:r>
      <w:r w:rsidR="00ED453A" w:rsidRPr="00ED453A">
        <w:rPr>
          <w:noProof/>
          <w:lang w:eastAsia="en-ID"/>
        </w:rPr>
        <w:t xml:space="preserve"> school level variables </w:t>
      </w:r>
      <w:r>
        <w:rPr>
          <w:noProof/>
          <w:lang w:eastAsia="en-ID"/>
        </w:rPr>
        <w:t xml:space="preserve">were </w:t>
      </w:r>
      <w:r w:rsidR="00DC3CEE">
        <w:rPr>
          <w:noProof/>
          <w:lang w:eastAsia="en-ID"/>
        </w:rPr>
        <w:t>significant</w:t>
      </w:r>
      <w:r>
        <w:rPr>
          <w:noProof/>
          <w:lang w:eastAsia="en-ID"/>
        </w:rPr>
        <w:t xml:space="preserve"> </w:t>
      </w:r>
      <w:r w:rsidR="00ED453A" w:rsidRPr="00ED453A">
        <w:rPr>
          <w:noProof/>
          <w:lang w:eastAsia="en-ID"/>
        </w:rPr>
        <w:t>influence</w:t>
      </w:r>
      <w:r>
        <w:rPr>
          <w:noProof/>
          <w:lang w:eastAsia="en-ID"/>
        </w:rPr>
        <w:t>s</w:t>
      </w:r>
      <w:r w:rsidR="00ED453A" w:rsidRPr="00ED453A">
        <w:rPr>
          <w:noProof/>
          <w:lang w:eastAsia="en-ID"/>
        </w:rPr>
        <w:t xml:space="preserve"> than </w:t>
      </w:r>
      <w:r>
        <w:rPr>
          <w:noProof/>
          <w:lang w:eastAsia="en-ID"/>
        </w:rPr>
        <w:t xml:space="preserve">the </w:t>
      </w:r>
      <w:r w:rsidR="00ED453A" w:rsidRPr="00ED453A">
        <w:rPr>
          <w:noProof/>
          <w:lang w:eastAsia="en-ID"/>
        </w:rPr>
        <w:t xml:space="preserve">non-cognitive aspects of students. The different types of schools, namely public and private, most </w:t>
      </w:r>
      <w:r w:rsidR="00DC3CEE">
        <w:rPr>
          <w:noProof/>
          <w:lang w:eastAsia="en-ID"/>
        </w:rPr>
        <w:t>significantly</w:t>
      </w:r>
      <w:r w:rsidR="00ED453A" w:rsidRPr="00ED453A">
        <w:rPr>
          <w:noProof/>
          <w:lang w:eastAsia="en-ID"/>
        </w:rPr>
        <w:t xml:space="preserve"> influence </w:t>
      </w:r>
      <w:r w:rsidR="00DC3CEE">
        <w:rPr>
          <w:noProof/>
          <w:lang w:eastAsia="en-ID"/>
        </w:rPr>
        <w:t xml:space="preserve">to </w:t>
      </w:r>
      <w:r w:rsidR="00ED453A" w:rsidRPr="00ED453A">
        <w:rPr>
          <w:noProof/>
          <w:lang w:eastAsia="en-ID"/>
        </w:rPr>
        <w:t xml:space="preserve">the achievement of mathematics scores. Students in public schools score higher than those in private schools. The school </w:t>
      </w:r>
      <w:r w:rsidR="00ED453A" w:rsidRPr="00ED453A">
        <w:rPr>
          <w:noProof/>
          <w:lang w:eastAsia="en-ID"/>
        </w:rPr>
        <w:lastRenderedPageBreak/>
        <w:t xml:space="preserve">environment located variable is </w:t>
      </w:r>
      <w:r w:rsidR="00DC3CEE">
        <w:rPr>
          <w:noProof/>
          <w:lang w:eastAsia="en-ID"/>
        </w:rPr>
        <w:t>significant</w:t>
      </w:r>
      <w:r w:rsidR="00ED453A" w:rsidRPr="00ED453A">
        <w:rPr>
          <w:noProof/>
          <w:lang w:eastAsia="en-ID"/>
        </w:rPr>
        <w:t xml:space="preserve"> as the school category variable. Students whose schools are </w:t>
      </w:r>
      <w:r w:rsidR="00DC3CEE">
        <w:rPr>
          <w:noProof/>
          <w:lang w:eastAsia="en-ID"/>
        </w:rPr>
        <w:t xml:space="preserve">located </w:t>
      </w:r>
      <w:r w:rsidR="00ED453A" w:rsidRPr="00ED453A">
        <w:rPr>
          <w:noProof/>
          <w:lang w:eastAsia="en-ID"/>
        </w:rPr>
        <w:t xml:space="preserve">in urban areas </w:t>
      </w:r>
      <w:r w:rsidR="00DC3CEE">
        <w:rPr>
          <w:noProof/>
          <w:lang w:eastAsia="en-ID"/>
        </w:rPr>
        <w:t>get</w:t>
      </w:r>
      <w:r w:rsidR="00ED453A" w:rsidRPr="00ED453A">
        <w:rPr>
          <w:noProof/>
          <w:lang w:eastAsia="en-ID"/>
        </w:rPr>
        <w:t xml:space="preserve"> a higher score. Thus, students in Indonesia whose schools are </w:t>
      </w:r>
      <w:r w:rsidR="00DC3CEE">
        <w:rPr>
          <w:noProof/>
          <w:lang w:eastAsia="en-ID"/>
        </w:rPr>
        <w:t xml:space="preserve">located </w:t>
      </w:r>
      <w:r w:rsidR="00ED453A" w:rsidRPr="00ED453A">
        <w:rPr>
          <w:noProof/>
          <w:lang w:eastAsia="en-ID"/>
        </w:rPr>
        <w:t>in cities and public school</w:t>
      </w:r>
      <w:r w:rsidR="00DC3CEE">
        <w:rPr>
          <w:noProof/>
          <w:lang w:eastAsia="en-ID"/>
        </w:rPr>
        <w:t>s</w:t>
      </w:r>
      <w:r w:rsidR="00ED453A" w:rsidRPr="00ED453A">
        <w:rPr>
          <w:noProof/>
          <w:lang w:eastAsia="en-ID"/>
        </w:rPr>
        <w:t xml:space="preserve"> will have a much higher math score. These results support the findings from stud</w:t>
      </w:r>
      <w:r w:rsidR="00DC3CEE">
        <w:rPr>
          <w:noProof/>
          <w:lang w:eastAsia="en-ID"/>
        </w:rPr>
        <w:t xml:space="preserve">y </w:t>
      </w:r>
      <w:r w:rsidR="00ED453A" w:rsidRPr="00ED453A">
        <w:rPr>
          <w:noProof/>
          <w:lang w:eastAsia="en-ID"/>
        </w:rPr>
        <w:t xml:space="preserve">that have been conducted </w:t>
      </w:r>
      <w:r w:rsidR="00ED453A" w:rsidRPr="00ED453A">
        <w:rPr>
          <w:noProof/>
          <w:lang w:eastAsia="en-ID"/>
        </w:rPr>
        <w:fldChar w:fldCharType="begin" w:fldLock="1"/>
      </w:r>
      <w:r w:rsidR="00985095">
        <w:rPr>
          <w:noProof/>
          <w:lang w:eastAsia="en-ID"/>
        </w:rPr>
        <w:instrText>ADDIN CSL_CITATION {"citationItems":[{"id":"ITEM-1","itemData":{"DOI":"10.1007/s13394-018-0251-9","ISSN":"2211050X","abstract":"In many countries, there is pressure for schools to increase student engagement and skills in mathematics, in particular for disadvantaged students. This is certainly true in Australia. This study repurposes school level data to examine patterns of participation and achievement in senior secondary school mathematics in Victoria, Australia. It confirms that school socioeconomic status (SES) is strongly tied to participation and achievement in these subjects, and that nonmetropolitan schools tend to perform more poorly than metropolitan schools in these areas. It shows that nonmetropolitan schools are less likely to offer advanced mathematics subjects than metropolitan schools, and where they do, their students are less likely to choose those options. This study also reveals that correlations between mathematics performance and SES are far weaker in the nonmetropolitan school population than the metropolitan school population. This suggests that a nonmetropolitan location has a moderating effect on the impact of SES, pointing the way for potentially fruitful lines of future inquiry.","author":[{"dropping-particle":"","family":"Murphy","given":"Steve","non-dropping-particle":"","parse-names":false,"suffix":""}],"container-title":"Mathematics Education Research Journal","id":"ITEM-1","issue":"3","issued":{"date-parts":[["2019"]]},"page":"219-235","publisher":"Mathematics Education Research Journal","title":"School location and socioeconomic status and patterns of participation and achievement in senior secondary mathematics","type":"article-journal","volume":"31"},"uris":["http://www.mendeley.com/documents/?uuid=8552cc88-f5ac-461a-9618-4b455deadd60"]}],"mendeley":{"formattedCitation":"(Murphy, 2019)","manualFormatting":"[7]","plainTextFormattedCitation":"(Murphy, 2019)","previouslyFormattedCitation":"(Murphy, 2019)"},"properties":{"noteIndex":0},"schema":"https://github.com/citation-style-language/schema/raw/master/csl-citation.json"}</w:instrText>
      </w:r>
      <w:r w:rsidR="00ED453A" w:rsidRPr="00ED453A">
        <w:rPr>
          <w:noProof/>
          <w:lang w:eastAsia="en-ID"/>
        </w:rPr>
        <w:fldChar w:fldCharType="separate"/>
      </w:r>
      <w:r w:rsidR="00536146" w:rsidRPr="008D6A9F">
        <w:rPr>
          <w:noProof/>
          <w:lang w:eastAsia="en-ID"/>
        </w:rPr>
        <w:t>[7]</w:t>
      </w:r>
      <w:r w:rsidR="00ED453A" w:rsidRPr="00ED453A">
        <w:rPr>
          <w:noProof/>
          <w:lang w:eastAsia="en-ID"/>
        </w:rPr>
        <w:fldChar w:fldCharType="end"/>
      </w:r>
      <w:r w:rsidR="00ED453A" w:rsidRPr="00ED453A">
        <w:rPr>
          <w:noProof/>
          <w:lang w:eastAsia="en-ID"/>
        </w:rPr>
        <w:t>.</w:t>
      </w:r>
    </w:p>
    <w:p w14:paraId="49C85305" w14:textId="5B90F10A" w:rsidR="00ED453A" w:rsidRPr="008D6A9F" w:rsidRDefault="00ED453A" w:rsidP="00ED453A">
      <w:pPr>
        <w:pStyle w:val="BodytextIndented"/>
        <w:rPr>
          <w:noProof/>
          <w:lang w:eastAsia="en-ID"/>
        </w:rPr>
      </w:pPr>
      <w:r w:rsidRPr="008D6A9F">
        <w:rPr>
          <w:noProof/>
          <w:lang w:eastAsia="en-ID"/>
        </w:rPr>
        <w:t>The final question in this study is "how big is the total variance explained by the predictor variables in the final multilevel model?". From multilevel modeling it is found that the final model explains about 17% of the mathematics score variance. In more detail, this model explains 28.5% and 1.2% differences at the school level and student level</w:t>
      </w:r>
      <w:r w:rsidR="00DC3CEE">
        <w:rPr>
          <w:noProof/>
          <w:lang w:eastAsia="en-ID"/>
        </w:rPr>
        <w:t>,</w:t>
      </w:r>
      <w:r w:rsidRPr="008D6A9F">
        <w:rPr>
          <w:noProof/>
          <w:lang w:eastAsia="en-ID"/>
        </w:rPr>
        <w:t xml:space="preserve"> respectively. Thus</w:t>
      </w:r>
      <w:r w:rsidR="00DC3CEE">
        <w:rPr>
          <w:noProof/>
          <w:lang w:eastAsia="en-ID"/>
        </w:rPr>
        <w:t>,</w:t>
      </w:r>
      <w:r w:rsidRPr="008D6A9F">
        <w:rPr>
          <w:noProof/>
          <w:lang w:eastAsia="en-ID"/>
        </w:rPr>
        <w:t xml:space="preserve"> 83% of the variance in mathematics scores has not been explained </w:t>
      </w:r>
      <w:r w:rsidR="00DC3CEE">
        <w:rPr>
          <w:noProof/>
          <w:lang w:eastAsia="en-ID"/>
        </w:rPr>
        <w:t>by</w:t>
      </w:r>
      <w:r w:rsidRPr="008D6A9F">
        <w:rPr>
          <w:noProof/>
          <w:lang w:eastAsia="en-ID"/>
        </w:rPr>
        <w:t xml:space="preserve"> this model. This can be used as further research to </w:t>
      </w:r>
      <w:r w:rsidR="00DC3CEE">
        <w:rPr>
          <w:noProof/>
          <w:lang w:eastAsia="en-ID"/>
        </w:rPr>
        <w:t>obtain</w:t>
      </w:r>
      <w:r w:rsidRPr="008D6A9F">
        <w:rPr>
          <w:noProof/>
          <w:lang w:eastAsia="en-ID"/>
        </w:rPr>
        <w:t xml:space="preserve"> predictors that can explain most variance in </w:t>
      </w:r>
      <w:r w:rsidR="00DC3CEE">
        <w:rPr>
          <w:noProof/>
          <w:lang w:eastAsia="en-ID"/>
        </w:rPr>
        <w:t xml:space="preserve">mathematics </w:t>
      </w:r>
      <w:r w:rsidRPr="008D6A9F">
        <w:rPr>
          <w:noProof/>
          <w:lang w:eastAsia="en-ID"/>
        </w:rPr>
        <w:t>scores.</w:t>
      </w:r>
    </w:p>
    <w:p w14:paraId="2525CF32" w14:textId="77777777" w:rsidR="00ED453A" w:rsidRPr="008D6A9F" w:rsidRDefault="00ED453A" w:rsidP="00ED453A">
      <w:pPr>
        <w:pStyle w:val="Section"/>
        <w:rPr>
          <w:noProof/>
          <w:lang w:val="en-US" w:eastAsia="en-ID"/>
        </w:rPr>
      </w:pPr>
      <w:r w:rsidRPr="008D6A9F">
        <w:rPr>
          <w:noProof/>
          <w:lang w:val="en-US" w:eastAsia="en-ID"/>
        </w:rPr>
        <w:t>Conclusion</w:t>
      </w:r>
    </w:p>
    <w:p w14:paraId="368A659D" w14:textId="4412C26C" w:rsidR="00ED453A" w:rsidRPr="008D6A9F" w:rsidRDefault="00ED453A" w:rsidP="00ED453A">
      <w:pPr>
        <w:pStyle w:val="Bodytext"/>
        <w:rPr>
          <w:noProof/>
          <w:lang w:eastAsia="en-ID"/>
        </w:rPr>
      </w:pPr>
      <w:r w:rsidRPr="008D6A9F">
        <w:rPr>
          <w:noProof/>
          <w:lang w:eastAsia="en-ID"/>
        </w:rPr>
        <w:t>This study provides an overview several significant factors</w:t>
      </w:r>
      <w:r w:rsidR="005144B5">
        <w:rPr>
          <w:noProof/>
          <w:lang w:eastAsia="en-ID"/>
        </w:rPr>
        <w:t xml:space="preserve"> of </w:t>
      </w:r>
      <w:r w:rsidR="005144B5" w:rsidRPr="008D6A9F">
        <w:rPr>
          <w:noProof/>
          <w:lang w:eastAsia="en-ID"/>
        </w:rPr>
        <w:t xml:space="preserve">the achievement of </w:t>
      </w:r>
      <w:r w:rsidR="005144B5">
        <w:rPr>
          <w:noProof/>
          <w:lang w:eastAsia="en-ID"/>
        </w:rPr>
        <w:t xml:space="preserve">Indonesian students’ </w:t>
      </w:r>
      <w:r w:rsidR="005144B5" w:rsidRPr="008D6A9F">
        <w:rPr>
          <w:noProof/>
          <w:lang w:eastAsia="en-ID"/>
        </w:rPr>
        <w:t xml:space="preserve">mathematics </w:t>
      </w:r>
      <w:r w:rsidR="005144B5">
        <w:rPr>
          <w:noProof/>
          <w:lang w:eastAsia="en-ID"/>
        </w:rPr>
        <w:t>scores at</w:t>
      </w:r>
      <w:r w:rsidR="005144B5" w:rsidRPr="008D6A9F">
        <w:rPr>
          <w:noProof/>
          <w:lang w:eastAsia="en-ID"/>
        </w:rPr>
        <w:t xml:space="preserve"> PISA 2018</w:t>
      </w:r>
      <w:r w:rsidRPr="008D6A9F">
        <w:rPr>
          <w:noProof/>
          <w:lang w:eastAsia="en-ID"/>
        </w:rPr>
        <w:t xml:space="preserve">. </w:t>
      </w:r>
      <w:r w:rsidR="005144B5">
        <w:rPr>
          <w:noProof/>
          <w:lang w:eastAsia="en-ID"/>
        </w:rPr>
        <w:t>Results of multilevel m</w:t>
      </w:r>
      <w:r w:rsidRPr="008D6A9F">
        <w:rPr>
          <w:noProof/>
          <w:lang w:eastAsia="en-ID"/>
        </w:rPr>
        <w:t xml:space="preserve">odeling reveal that schools have a greater influence on mathematics scores compared to </w:t>
      </w:r>
      <w:r w:rsidR="005144B5">
        <w:rPr>
          <w:noProof/>
          <w:lang w:eastAsia="en-ID"/>
        </w:rPr>
        <w:t xml:space="preserve">the </w:t>
      </w:r>
      <w:r w:rsidRPr="008D6A9F">
        <w:rPr>
          <w:noProof/>
          <w:lang w:eastAsia="en-ID"/>
        </w:rPr>
        <w:t xml:space="preserve">non-cognitive aspects of students. The categories of schools and the environment in which schools are located are two strong influences in the final multilevel model. </w:t>
      </w:r>
      <w:r w:rsidR="008A1939">
        <w:rPr>
          <w:noProof/>
          <w:lang w:eastAsia="en-ID"/>
        </w:rPr>
        <w:t>The</w:t>
      </w:r>
      <w:r w:rsidRPr="008D6A9F">
        <w:rPr>
          <w:noProof/>
          <w:lang w:eastAsia="en-ID"/>
        </w:rPr>
        <w:t xml:space="preserve"> life satisfaction, positive feelings, and negative feelings are not all significant. A significant factor </w:t>
      </w:r>
      <w:r w:rsidR="008A1939">
        <w:rPr>
          <w:noProof/>
          <w:lang w:eastAsia="en-ID"/>
        </w:rPr>
        <w:t>with a positive relationship to mathematics score includes</w:t>
      </w:r>
      <w:r w:rsidRPr="008D6A9F">
        <w:rPr>
          <w:noProof/>
          <w:lang w:eastAsia="en-ID"/>
        </w:rPr>
        <w:t xml:space="preserve"> happy and scared. While the factors that are significant and have a negative </w:t>
      </w:r>
      <w:r w:rsidR="008A1939">
        <w:rPr>
          <w:noProof/>
          <w:lang w:eastAsia="en-ID"/>
        </w:rPr>
        <w:t>relationship to mathematics score</w:t>
      </w:r>
      <w:r w:rsidRPr="008D6A9F">
        <w:rPr>
          <w:noProof/>
          <w:lang w:eastAsia="en-ID"/>
        </w:rPr>
        <w:t xml:space="preserve"> are life satisfaction, lively, proud, miserable, and sad.</w:t>
      </w:r>
      <w:r w:rsidR="00202635">
        <w:rPr>
          <w:noProof/>
          <w:lang w:eastAsia="en-ID"/>
        </w:rPr>
        <w:t xml:space="preserve"> This study revealed only 17% of </w:t>
      </w:r>
      <w:r w:rsidR="008A1939">
        <w:rPr>
          <w:noProof/>
          <w:lang w:eastAsia="en-ID"/>
        </w:rPr>
        <w:t xml:space="preserve">variance in </w:t>
      </w:r>
      <w:r w:rsidR="00202635">
        <w:rPr>
          <w:noProof/>
          <w:lang w:eastAsia="en-ID"/>
        </w:rPr>
        <w:t>mathematics score so further research can be done to explain more.</w:t>
      </w:r>
    </w:p>
    <w:p w14:paraId="76691791" w14:textId="5D8C0D7D" w:rsidR="00ED453A" w:rsidRPr="008D6A9F" w:rsidRDefault="00ED453A" w:rsidP="00ED453A">
      <w:pPr>
        <w:pStyle w:val="BodytextIndented"/>
        <w:rPr>
          <w:noProof/>
          <w:lang w:eastAsia="en-ID"/>
        </w:rPr>
      </w:pPr>
      <w:r w:rsidRPr="008D6A9F">
        <w:rPr>
          <w:noProof/>
          <w:lang w:eastAsia="en-ID"/>
        </w:rPr>
        <w:t xml:space="preserve">The results of this study can be used for policy makers, </w:t>
      </w:r>
      <w:r w:rsidR="008A1939">
        <w:rPr>
          <w:noProof/>
          <w:lang w:eastAsia="en-ID"/>
        </w:rPr>
        <w:t xml:space="preserve">educational </w:t>
      </w:r>
      <w:r w:rsidRPr="008D6A9F">
        <w:rPr>
          <w:noProof/>
          <w:lang w:eastAsia="en-ID"/>
        </w:rPr>
        <w:t>stakeholders, educators, and parents to pay attention to the non-cognitive aspects of students as well as equalizing the quality of schools in Indonesia. This research is limited to some of those</w:t>
      </w:r>
      <w:r w:rsidR="008A1939">
        <w:rPr>
          <w:noProof/>
          <w:lang w:eastAsia="en-ID"/>
        </w:rPr>
        <w:t xml:space="preserve"> factors selected</w:t>
      </w:r>
      <w:r w:rsidRPr="008D6A9F">
        <w:rPr>
          <w:noProof/>
          <w:lang w:eastAsia="en-ID"/>
        </w:rPr>
        <w:t xml:space="preserve"> in PISA 2018. However, it is expected to contribute to research related to PISA in Indonesia.</w:t>
      </w:r>
    </w:p>
    <w:p w14:paraId="38BA0638" w14:textId="77777777" w:rsidR="009A0487" w:rsidRPr="008D6A9F" w:rsidRDefault="009A0487">
      <w:pPr>
        <w:pStyle w:val="Sectionnonumber"/>
        <w:rPr>
          <w:noProof/>
        </w:rPr>
      </w:pPr>
      <w:r w:rsidRPr="008D6A9F">
        <w:rPr>
          <w:noProof/>
        </w:rPr>
        <w:t>References</w:t>
      </w:r>
    </w:p>
    <w:p w14:paraId="538D6597" w14:textId="58769614" w:rsidR="00ED453A" w:rsidRPr="008D6A9F" w:rsidRDefault="00ED453A" w:rsidP="00C80465">
      <w:pPr>
        <w:pStyle w:val="Reference"/>
        <w:jc w:val="left"/>
        <w:rPr>
          <w:lang w:val="en-US"/>
        </w:rPr>
      </w:pPr>
      <w:bookmarkStart w:id="0" w:name="_Hlk46161377"/>
      <w:r w:rsidRPr="008D6A9F">
        <w:rPr>
          <w:lang w:val="en-US"/>
        </w:rPr>
        <w:t>Ash</w:t>
      </w:r>
      <w:r w:rsidR="001E3FA1">
        <w:rPr>
          <w:lang w:val="en-US"/>
        </w:rPr>
        <w:t>craf</w:t>
      </w:r>
      <w:r w:rsidRPr="008D6A9F">
        <w:rPr>
          <w:lang w:val="en-US"/>
        </w:rPr>
        <w:t>t MH 2002</w:t>
      </w:r>
      <w:r w:rsidR="005D175F">
        <w:rPr>
          <w:lang w:val="en-US"/>
        </w:rPr>
        <w:t xml:space="preserve"> </w:t>
      </w:r>
      <w:r w:rsidRPr="00C80465">
        <w:rPr>
          <w:i/>
          <w:iCs w:val="0"/>
          <w:lang w:val="en-US"/>
        </w:rPr>
        <w:t>Cur</w:t>
      </w:r>
      <w:r w:rsidR="005516B8">
        <w:rPr>
          <w:i/>
          <w:iCs w:val="0"/>
          <w:lang w:val="en-US"/>
        </w:rPr>
        <w:t>.</w:t>
      </w:r>
      <w:r w:rsidRPr="00C80465">
        <w:rPr>
          <w:i/>
          <w:iCs w:val="0"/>
          <w:lang w:val="en-US"/>
        </w:rPr>
        <w:t xml:space="preserve"> Dir</w:t>
      </w:r>
      <w:r w:rsidR="005516B8">
        <w:rPr>
          <w:i/>
          <w:iCs w:val="0"/>
          <w:lang w:val="en-US"/>
        </w:rPr>
        <w:t>.</w:t>
      </w:r>
      <w:r w:rsidRPr="00C80465">
        <w:rPr>
          <w:i/>
          <w:iCs w:val="0"/>
          <w:lang w:val="en-US"/>
        </w:rPr>
        <w:t xml:space="preserve"> Psy</w:t>
      </w:r>
      <w:r w:rsidR="005516B8">
        <w:rPr>
          <w:i/>
          <w:iCs w:val="0"/>
          <w:lang w:val="en-US"/>
        </w:rPr>
        <w:t>.</w:t>
      </w:r>
      <w:r w:rsidRPr="00C80465">
        <w:rPr>
          <w:i/>
          <w:iCs w:val="0"/>
          <w:lang w:val="en-US"/>
        </w:rPr>
        <w:t xml:space="preserve"> Sci</w:t>
      </w:r>
      <w:r w:rsidR="005516B8">
        <w:rPr>
          <w:i/>
          <w:iCs w:val="0"/>
          <w:lang w:val="en-US"/>
        </w:rPr>
        <w:t>.</w:t>
      </w:r>
      <w:r w:rsidRPr="008D6A9F">
        <w:rPr>
          <w:lang w:val="en-US"/>
        </w:rPr>
        <w:t xml:space="preserve"> </w:t>
      </w:r>
      <w:r w:rsidRPr="00C80465">
        <w:rPr>
          <w:b/>
          <w:bCs/>
          <w:lang w:val="en-US"/>
        </w:rPr>
        <w:t>1</w:t>
      </w:r>
      <w:r w:rsidR="005D175F" w:rsidRPr="00C80465">
        <w:rPr>
          <w:b/>
          <w:bCs/>
          <w:lang w:val="en-US"/>
        </w:rPr>
        <w:t>1</w:t>
      </w:r>
      <w:r w:rsidR="005516B8">
        <w:rPr>
          <w:lang w:val="en-US"/>
        </w:rPr>
        <w:t xml:space="preserve"> </w:t>
      </w:r>
      <w:r w:rsidRPr="008D6A9F">
        <w:rPr>
          <w:lang w:val="en-US"/>
        </w:rPr>
        <w:t>181–185</w:t>
      </w:r>
      <w:bookmarkEnd w:id="0"/>
    </w:p>
    <w:p w14:paraId="727F2420" w14:textId="138ED97F" w:rsidR="00ED453A" w:rsidRPr="008D6A9F" w:rsidRDefault="00ED453A" w:rsidP="00C80465">
      <w:pPr>
        <w:pStyle w:val="Reference"/>
        <w:jc w:val="left"/>
        <w:rPr>
          <w:lang w:val="en-US"/>
        </w:rPr>
      </w:pPr>
      <w:bookmarkStart w:id="1" w:name="_Hlk46161408"/>
      <w:r w:rsidRPr="008D6A9F">
        <w:rPr>
          <w:lang w:val="en-US"/>
        </w:rPr>
        <w:t>Finch WH, Bolin JE</w:t>
      </w:r>
      <w:r w:rsidR="001E3FA1">
        <w:rPr>
          <w:lang w:val="en-US"/>
        </w:rPr>
        <w:t xml:space="preserve"> and</w:t>
      </w:r>
      <w:r w:rsidRPr="008D6A9F">
        <w:rPr>
          <w:lang w:val="en-US"/>
        </w:rPr>
        <w:t xml:space="preserve"> Kelley K 2019 </w:t>
      </w:r>
      <w:r w:rsidRPr="00C80465">
        <w:rPr>
          <w:i/>
          <w:iCs w:val="0"/>
          <w:lang w:val="en-US"/>
        </w:rPr>
        <w:t>Multilevel Modeling Using R</w:t>
      </w:r>
      <w:r w:rsidRPr="008D6A9F">
        <w:rPr>
          <w:lang w:val="en-US"/>
        </w:rPr>
        <w:t xml:space="preserve"> </w:t>
      </w:r>
      <w:r w:rsidR="005516B8">
        <w:rPr>
          <w:lang w:val="en-US"/>
        </w:rPr>
        <w:t xml:space="preserve">(New York: </w:t>
      </w:r>
      <w:r w:rsidRPr="008D6A9F">
        <w:rPr>
          <w:lang w:val="en-US"/>
        </w:rPr>
        <w:t>CRC Press</w:t>
      </w:r>
      <w:bookmarkEnd w:id="1"/>
      <w:r w:rsidR="005516B8">
        <w:rPr>
          <w:lang w:val="en-US"/>
        </w:rPr>
        <w:t>)</w:t>
      </w:r>
    </w:p>
    <w:p w14:paraId="1299CA67" w14:textId="48209036" w:rsidR="00ED453A" w:rsidRPr="008D6A9F" w:rsidRDefault="00ED453A" w:rsidP="00C80465">
      <w:pPr>
        <w:pStyle w:val="Reference"/>
        <w:jc w:val="left"/>
        <w:rPr>
          <w:lang w:val="en-US"/>
        </w:rPr>
      </w:pPr>
      <w:r w:rsidRPr="008D6A9F">
        <w:rPr>
          <w:lang w:val="en-US"/>
        </w:rPr>
        <w:t>Karakolidis A, Pitsia</w:t>
      </w:r>
      <w:r w:rsidR="001E3FA1">
        <w:rPr>
          <w:lang w:val="en-US"/>
        </w:rPr>
        <w:t xml:space="preserve"> </w:t>
      </w:r>
      <w:r w:rsidRPr="008D6A9F">
        <w:rPr>
          <w:lang w:val="en-US"/>
        </w:rPr>
        <w:t xml:space="preserve">V </w:t>
      </w:r>
      <w:r w:rsidR="001E3FA1">
        <w:rPr>
          <w:lang w:val="en-US"/>
        </w:rPr>
        <w:t>and</w:t>
      </w:r>
      <w:r w:rsidRPr="008D6A9F">
        <w:rPr>
          <w:lang w:val="en-US"/>
        </w:rPr>
        <w:t xml:space="preserve"> Emvalotis A</w:t>
      </w:r>
      <w:r w:rsidR="001E3FA1">
        <w:rPr>
          <w:lang w:val="en-US"/>
        </w:rPr>
        <w:t xml:space="preserve"> </w:t>
      </w:r>
      <w:r w:rsidRPr="008D6A9F">
        <w:rPr>
          <w:lang w:val="en-US"/>
        </w:rPr>
        <w:t xml:space="preserve">2016 </w:t>
      </w:r>
      <w:r w:rsidRPr="00C80465">
        <w:rPr>
          <w:i/>
          <w:iCs w:val="0"/>
          <w:lang w:val="en-US"/>
        </w:rPr>
        <w:t>Int</w:t>
      </w:r>
      <w:r w:rsidR="005516B8">
        <w:rPr>
          <w:i/>
          <w:iCs w:val="0"/>
          <w:lang w:val="en-US"/>
        </w:rPr>
        <w:t>.</w:t>
      </w:r>
      <w:r w:rsidRPr="00C80465">
        <w:rPr>
          <w:i/>
          <w:iCs w:val="0"/>
          <w:lang w:val="en-US"/>
        </w:rPr>
        <w:t xml:space="preserve"> J</w:t>
      </w:r>
      <w:r w:rsidR="005516B8">
        <w:rPr>
          <w:i/>
          <w:iCs w:val="0"/>
          <w:lang w:val="en-US"/>
        </w:rPr>
        <w:t xml:space="preserve">. </w:t>
      </w:r>
      <w:r w:rsidRPr="00C80465">
        <w:rPr>
          <w:i/>
          <w:iCs w:val="0"/>
          <w:lang w:val="en-US"/>
        </w:rPr>
        <w:t>Ed</w:t>
      </w:r>
      <w:r w:rsidR="005516B8">
        <w:rPr>
          <w:i/>
          <w:iCs w:val="0"/>
          <w:lang w:val="en-US"/>
        </w:rPr>
        <w:t>u.</w:t>
      </w:r>
      <w:r w:rsidRPr="00C80465">
        <w:rPr>
          <w:i/>
          <w:iCs w:val="0"/>
          <w:lang w:val="en-US"/>
        </w:rPr>
        <w:t xml:space="preserve"> R</w:t>
      </w:r>
      <w:r w:rsidR="005516B8">
        <w:rPr>
          <w:i/>
          <w:iCs w:val="0"/>
          <w:lang w:val="en-US"/>
        </w:rPr>
        <w:t>es.</w:t>
      </w:r>
      <w:r w:rsidRPr="00C80465">
        <w:rPr>
          <w:b/>
          <w:bCs/>
          <w:lang w:val="en-US"/>
        </w:rPr>
        <w:t>79</w:t>
      </w:r>
      <w:r w:rsidRPr="008D6A9F">
        <w:rPr>
          <w:lang w:val="en-US"/>
        </w:rPr>
        <w:t xml:space="preserve"> 106–115 </w:t>
      </w:r>
    </w:p>
    <w:p w14:paraId="30F67EC0" w14:textId="14366C4B" w:rsidR="00ED453A" w:rsidRPr="008D6A9F" w:rsidRDefault="00ED453A" w:rsidP="00C80465">
      <w:pPr>
        <w:pStyle w:val="Reference"/>
        <w:jc w:val="left"/>
        <w:rPr>
          <w:lang w:val="en-US"/>
        </w:rPr>
      </w:pPr>
      <w:r w:rsidRPr="008D6A9F">
        <w:rPr>
          <w:lang w:val="en-US"/>
        </w:rPr>
        <w:t>King RB</w:t>
      </w:r>
      <w:r w:rsidR="001E3FA1">
        <w:rPr>
          <w:lang w:val="en-US"/>
        </w:rPr>
        <w:t xml:space="preserve"> and</w:t>
      </w:r>
      <w:r w:rsidRPr="008D6A9F">
        <w:rPr>
          <w:lang w:val="en-US"/>
        </w:rPr>
        <w:t xml:space="preserve"> Areepattamannil S 2014</w:t>
      </w:r>
      <w:r w:rsidR="007D1B49">
        <w:rPr>
          <w:lang w:val="en-US"/>
        </w:rPr>
        <w:t xml:space="preserve"> </w:t>
      </w:r>
      <w:r w:rsidRPr="00C80465">
        <w:rPr>
          <w:i/>
          <w:iCs w:val="0"/>
          <w:lang w:val="en-US"/>
        </w:rPr>
        <w:t>J</w:t>
      </w:r>
      <w:r w:rsidR="007D1B49">
        <w:rPr>
          <w:i/>
          <w:iCs w:val="0"/>
          <w:lang w:val="en-US"/>
        </w:rPr>
        <w:t>.</w:t>
      </w:r>
      <w:r w:rsidRPr="00C80465">
        <w:rPr>
          <w:i/>
          <w:iCs w:val="0"/>
          <w:lang w:val="en-US"/>
        </w:rPr>
        <w:t>Pac</w:t>
      </w:r>
      <w:r w:rsidR="007D1B49">
        <w:rPr>
          <w:i/>
          <w:iCs w:val="0"/>
          <w:lang w:val="en-US"/>
        </w:rPr>
        <w:t>.</w:t>
      </w:r>
      <w:r w:rsidRPr="00C80465">
        <w:rPr>
          <w:i/>
          <w:iCs w:val="0"/>
          <w:lang w:val="en-US"/>
        </w:rPr>
        <w:t xml:space="preserve"> Rim Psy</w:t>
      </w:r>
      <w:r w:rsidR="007D1B49">
        <w:rPr>
          <w:i/>
          <w:iCs w:val="0"/>
          <w:lang w:val="en-US"/>
        </w:rPr>
        <w:t>.</w:t>
      </w:r>
      <w:r w:rsidRPr="008D6A9F">
        <w:rPr>
          <w:lang w:val="en-US"/>
        </w:rPr>
        <w:t xml:space="preserve"> </w:t>
      </w:r>
      <w:r w:rsidRPr="00C80465">
        <w:rPr>
          <w:b/>
          <w:bCs/>
          <w:lang w:val="en-US"/>
        </w:rPr>
        <w:t>8</w:t>
      </w:r>
      <w:r w:rsidRPr="008D6A9F">
        <w:rPr>
          <w:lang w:val="en-US"/>
        </w:rPr>
        <w:t xml:space="preserve"> 18–27</w:t>
      </w:r>
    </w:p>
    <w:p w14:paraId="7B696177" w14:textId="4225B91A" w:rsidR="00ED453A" w:rsidRPr="008D6A9F" w:rsidRDefault="00ED453A" w:rsidP="00C80465">
      <w:pPr>
        <w:pStyle w:val="Reference"/>
        <w:jc w:val="left"/>
        <w:rPr>
          <w:lang w:val="en-US"/>
        </w:rPr>
      </w:pPr>
      <w:r w:rsidRPr="008D6A9F">
        <w:rPr>
          <w:lang w:val="en-US"/>
        </w:rPr>
        <w:t xml:space="preserve">Leder G </w:t>
      </w:r>
      <w:r w:rsidR="005D175F">
        <w:rPr>
          <w:lang w:val="en-US"/>
        </w:rPr>
        <w:t>and</w:t>
      </w:r>
      <w:r w:rsidRPr="008D6A9F">
        <w:rPr>
          <w:lang w:val="en-US"/>
        </w:rPr>
        <w:t xml:space="preserve"> Grootenboer P 2005</w:t>
      </w:r>
      <w:r w:rsidR="007D1B49">
        <w:rPr>
          <w:lang w:val="en-US"/>
        </w:rPr>
        <w:t xml:space="preserve"> </w:t>
      </w:r>
      <w:r w:rsidRPr="00C80465">
        <w:rPr>
          <w:i/>
          <w:iCs w:val="0"/>
          <w:lang w:val="en-US"/>
        </w:rPr>
        <w:t>Math</w:t>
      </w:r>
      <w:r w:rsidR="007D1B49">
        <w:rPr>
          <w:i/>
          <w:iCs w:val="0"/>
          <w:lang w:val="en-US"/>
        </w:rPr>
        <w:t>.</w:t>
      </w:r>
      <w:r w:rsidRPr="00C80465">
        <w:rPr>
          <w:i/>
          <w:iCs w:val="0"/>
          <w:lang w:val="en-US"/>
        </w:rPr>
        <w:t xml:space="preserve"> Edu</w:t>
      </w:r>
      <w:r w:rsidR="007D1B49">
        <w:rPr>
          <w:i/>
          <w:iCs w:val="0"/>
          <w:lang w:val="en-US"/>
        </w:rPr>
        <w:t xml:space="preserve">. </w:t>
      </w:r>
      <w:r w:rsidRPr="00C80465">
        <w:rPr>
          <w:i/>
          <w:iCs w:val="0"/>
          <w:lang w:val="en-US"/>
        </w:rPr>
        <w:t>Res</w:t>
      </w:r>
      <w:r w:rsidR="007D1B49">
        <w:rPr>
          <w:i/>
          <w:iCs w:val="0"/>
          <w:lang w:val="en-US"/>
        </w:rPr>
        <w:t>.</w:t>
      </w:r>
      <w:r w:rsidRPr="00C80465">
        <w:rPr>
          <w:i/>
          <w:iCs w:val="0"/>
          <w:lang w:val="en-US"/>
        </w:rPr>
        <w:t xml:space="preserve"> J</w:t>
      </w:r>
      <w:r w:rsidR="007D1B49">
        <w:rPr>
          <w:i/>
          <w:iCs w:val="0"/>
          <w:lang w:val="en-US"/>
        </w:rPr>
        <w:t>.</w:t>
      </w:r>
      <w:r w:rsidR="007D1B49">
        <w:rPr>
          <w:lang w:val="en-US"/>
        </w:rPr>
        <w:t xml:space="preserve"> </w:t>
      </w:r>
      <w:r w:rsidRPr="00C80465">
        <w:rPr>
          <w:b/>
          <w:bCs/>
          <w:lang w:val="en-US"/>
        </w:rPr>
        <w:t>17</w:t>
      </w:r>
      <w:r w:rsidRPr="008D6A9F">
        <w:rPr>
          <w:lang w:val="en-US"/>
        </w:rPr>
        <w:t xml:space="preserve"> 1–8</w:t>
      </w:r>
    </w:p>
    <w:p w14:paraId="14CD0AA5" w14:textId="5F2376F5" w:rsidR="00ED453A" w:rsidRPr="008D6A9F" w:rsidRDefault="00ED453A" w:rsidP="00C80465">
      <w:pPr>
        <w:pStyle w:val="Reference"/>
        <w:jc w:val="left"/>
        <w:rPr>
          <w:lang w:val="en-US"/>
        </w:rPr>
      </w:pPr>
      <w:r w:rsidRPr="008D6A9F">
        <w:rPr>
          <w:lang w:val="en-US"/>
        </w:rPr>
        <w:t xml:space="preserve">Mo J 2019 </w:t>
      </w:r>
      <w:r w:rsidRPr="00C80465">
        <w:rPr>
          <w:i/>
          <w:iCs w:val="0"/>
          <w:lang w:val="en-US"/>
        </w:rPr>
        <w:t xml:space="preserve">How Is Students' Motivation Related to Their Performance and Anxiety? </w:t>
      </w:r>
      <w:r w:rsidR="004053F3">
        <w:rPr>
          <w:lang w:val="en-US"/>
        </w:rPr>
        <w:t xml:space="preserve">(Paris: </w:t>
      </w:r>
      <w:r w:rsidRPr="004053F3">
        <w:rPr>
          <w:lang w:val="en-US"/>
        </w:rPr>
        <w:t>OECD</w:t>
      </w:r>
      <w:r w:rsidRPr="008D6A9F">
        <w:rPr>
          <w:lang w:val="en-US"/>
        </w:rPr>
        <w:t xml:space="preserve"> Publishing</w:t>
      </w:r>
      <w:r w:rsidR="004053F3">
        <w:rPr>
          <w:lang w:val="en-US"/>
        </w:rPr>
        <w:t>)</w:t>
      </w:r>
    </w:p>
    <w:p w14:paraId="191E0B86" w14:textId="67E721CF" w:rsidR="00ED453A" w:rsidRPr="008D6A9F" w:rsidRDefault="00ED453A" w:rsidP="00C80465">
      <w:pPr>
        <w:pStyle w:val="Reference"/>
        <w:jc w:val="left"/>
        <w:rPr>
          <w:lang w:val="en-US"/>
        </w:rPr>
      </w:pPr>
      <w:r w:rsidRPr="008D6A9F">
        <w:rPr>
          <w:lang w:val="en-US"/>
        </w:rPr>
        <w:t>Murphy S 2019</w:t>
      </w:r>
      <w:r w:rsidR="004053F3">
        <w:rPr>
          <w:lang w:val="en-US"/>
        </w:rPr>
        <w:t xml:space="preserve"> </w:t>
      </w:r>
      <w:r w:rsidRPr="00C80465">
        <w:rPr>
          <w:i/>
          <w:iCs w:val="0"/>
          <w:lang w:val="en-US"/>
        </w:rPr>
        <w:t>Math</w:t>
      </w:r>
      <w:r w:rsidR="004053F3">
        <w:rPr>
          <w:i/>
          <w:iCs w:val="0"/>
          <w:lang w:val="en-US"/>
        </w:rPr>
        <w:t>.</w:t>
      </w:r>
      <w:r w:rsidRPr="00C80465">
        <w:rPr>
          <w:i/>
          <w:iCs w:val="0"/>
          <w:lang w:val="en-US"/>
        </w:rPr>
        <w:t xml:space="preserve"> Edu</w:t>
      </w:r>
      <w:r w:rsidR="004053F3">
        <w:rPr>
          <w:i/>
          <w:iCs w:val="0"/>
          <w:lang w:val="en-US"/>
        </w:rPr>
        <w:t xml:space="preserve">. </w:t>
      </w:r>
      <w:r w:rsidRPr="00C80465">
        <w:rPr>
          <w:i/>
          <w:iCs w:val="0"/>
          <w:lang w:val="en-US"/>
        </w:rPr>
        <w:t>Res</w:t>
      </w:r>
      <w:r w:rsidR="004053F3">
        <w:rPr>
          <w:i/>
          <w:iCs w:val="0"/>
          <w:lang w:val="en-US"/>
        </w:rPr>
        <w:t>.</w:t>
      </w:r>
      <w:r w:rsidRPr="00C80465">
        <w:rPr>
          <w:i/>
          <w:iCs w:val="0"/>
          <w:lang w:val="en-US"/>
        </w:rPr>
        <w:t xml:space="preserve"> J</w:t>
      </w:r>
      <w:r w:rsidR="004053F3">
        <w:rPr>
          <w:i/>
          <w:iCs w:val="0"/>
          <w:lang w:val="en-US"/>
        </w:rPr>
        <w:t>.</w:t>
      </w:r>
      <w:r w:rsidRPr="008D6A9F">
        <w:rPr>
          <w:lang w:val="en-US"/>
        </w:rPr>
        <w:t xml:space="preserve"> </w:t>
      </w:r>
      <w:r w:rsidRPr="00C80465">
        <w:rPr>
          <w:b/>
          <w:bCs/>
          <w:lang w:val="en-US"/>
        </w:rPr>
        <w:t>31</w:t>
      </w:r>
      <w:r w:rsidRPr="008D6A9F">
        <w:rPr>
          <w:lang w:val="en-US"/>
        </w:rPr>
        <w:t xml:space="preserve"> 219–235</w:t>
      </w:r>
    </w:p>
    <w:p w14:paraId="30ACD445" w14:textId="617EAFCA" w:rsidR="00ED453A" w:rsidRPr="008D6A9F" w:rsidRDefault="00ED453A" w:rsidP="00C80465">
      <w:pPr>
        <w:pStyle w:val="Reference"/>
        <w:jc w:val="left"/>
        <w:rPr>
          <w:lang w:val="en-US"/>
        </w:rPr>
      </w:pPr>
      <w:r w:rsidRPr="008D6A9F">
        <w:rPr>
          <w:lang w:val="en-US"/>
        </w:rPr>
        <w:t xml:space="preserve">OECD 2009 </w:t>
      </w:r>
      <w:r w:rsidRPr="00C80465">
        <w:rPr>
          <w:i/>
          <w:iCs w:val="0"/>
          <w:lang w:val="en-US"/>
        </w:rPr>
        <w:t>PISA SPSS Data Analysis Manual</w:t>
      </w:r>
      <w:r w:rsidR="004053F3">
        <w:rPr>
          <w:lang w:val="en-US"/>
        </w:rPr>
        <w:t xml:space="preserve"> (Paris: </w:t>
      </w:r>
      <w:r w:rsidRPr="008D6A9F">
        <w:rPr>
          <w:lang w:val="en-US"/>
        </w:rPr>
        <w:t>OECD Publishing</w:t>
      </w:r>
      <w:r w:rsidR="004053F3">
        <w:rPr>
          <w:lang w:val="en-US"/>
        </w:rPr>
        <w:t>)</w:t>
      </w:r>
    </w:p>
    <w:p w14:paraId="71582492" w14:textId="6A27D1EC" w:rsidR="00ED453A" w:rsidRPr="008D6A9F" w:rsidRDefault="00ED453A" w:rsidP="00C80465">
      <w:pPr>
        <w:pStyle w:val="Reference"/>
        <w:jc w:val="left"/>
        <w:rPr>
          <w:lang w:val="en-US"/>
        </w:rPr>
      </w:pPr>
      <w:r w:rsidRPr="008D6A9F">
        <w:rPr>
          <w:lang w:val="en-US"/>
        </w:rPr>
        <w:t xml:space="preserve">OECD 2013a </w:t>
      </w:r>
      <w:r w:rsidRPr="00C80465">
        <w:rPr>
          <w:i/>
          <w:iCs w:val="0"/>
          <w:lang w:val="en-US"/>
        </w:rPr>
        <w:t>Does it matter which school a student attends?</w:t>
      </w:r>
      <w:r w:rsidRPr="008D6A9F">
        <w:rPr>
          <w:lang w:val="en-US"/>
        </w:rPr>
        <w:t xml:space="preserve"> </w:t>
      </w:r>
      <w:r w:rsidR="006365DD">
        <w:rPr>
          <w:lang w:val="en-US"/>
        </w:rPr>
        <w:t xml:space="preserve">(Paris: </w:t>
      </w:r>
      <w:r w:rsidRPr="008D6A9F">
        <w:rPr>
          <w:lang w:val="en-US"/>
        </w:rPr>
        <w:t>OECD</w:t>
      </w:r>
      <w:r w:rsidR="006365DD">
        <w:rPr>
          <w:lang w:val="en-US"/>
        </w:rPr>
        <w:t>)</w:t>
      </w:r>
      <w:r w:rsidRPr="008D6A9F">
        <w:rPr>
          <w:lang w:val="en-US"/>
        </w:rPr>
        <w:t xml:space="preserve"> </w:t>
      </w:r>
    </w:p>
    <w:p w14:paraId="5D7FD625" w14:textId="67C52AA5" w:rsidR="00ED453A" w:rsidRPr="008D6A9F" w:rsidRDefault="00ED453A" w:rsidP="00C80465">
      <w:pPr>
        <w:pStyle w:val="Reference"/>
        <w:jc w:val="left"/>
        <w:rPr>
          <w:lang w:val="en-US"/>
        </w:rPr>
      </w:pPr>
      <w:r w:rsidRPr="008D6A9F">
        <w:rPr>
          <w:lang w:val="en-US"/>
        </w:rPr>
        <w:t xml:space="preserve">OECD 2013b </w:t>
      </w:r>
      <w:r w:rsidRPr="00C80465">
        <w:rPr>
          <w:i/>
          <w:iCs w:val="0"/>
          <w:lang w:val="en-US"/>
        </w:rPr>
        <w:t>What makes urban schools different?</w:t>
      </w:r>
      <w:r w:rsidRPr="008D6A9F">
        <w:rPr>
          <w:lang w:val="en-US"/>
        </w:rPr>
        <w:t xml:space="preserve"> </w:t>
      </w:r>
      <w:r w:rsidR="006365DD">
        <w:rPr>
          <w:lang w:val="en-US"/>
        </w:rPr>
        <w:t>(Paris:</w:t>
      </w:r>
      <w:r w:rsidR="00856CBB">
        <w:rPr>
          <w:lang w:val="en-US"/>
        </w:rPr>
        <w:t xml:space="preserve"> </w:t>
      </w:r>
      <w:r w:rsidRPr="008D6A9F">
        <w:rPr>
          <w:lang w:val="en-US"/>
        </w:rPr>
        <w:t>OECD Publishing</w:t>
      </w:r>
      <w:r w:rsidR="006365DD">
        <w:rPr>
          <w:lang w:val="en-US"/>
        </w:rPr>
        <w:t>)</w:t>
      </w:r>
    </w:p>
    <w:p w14:paraId="0C4732DE" w14:textId="78F574BF" w:rsidR="00ED453A" w:rsidRPr="008D6A9F" w:rsidRDefault="00ED453A" w:rsidP="00C80465">
      <w:pPr>
        <w:pStyle w:val="Reference"/>
        <w:jc w:val="left"/>
        <w:rPr>
          <w:lang w:val="en-US"/>
        </w:rPr>
      </w:pPr>
      <w:r w:rsidRPr="008D6A9F">
        <w:rPr>
          <w:lang w:val="en-US"/>
        </w:rPr>
        <w:t xml:space="preserve">OECD 2015 </w:t>
      </w:r>
      <w:r w:rsidRPr="00C80465">
        <w:rPr>
          <w:i/>
          <w:iCs w:val="0"/>
          <w:lang w:val="en-US"/>
        </w:rPr>
        <w:t>Does Math Make You Anxious?</w:t>
      </w:r>
      <w:r w:rsidRPr="008D6A9F">
        <w:rPr>
          <w:lang w:val="en-US"/>
        </w:rPr>
        <w:t xml:space="preserve"> </w:t>
      </w:r>
      <w:r w:rsidR="006365DD">
        <w:rPr>
          <w:lang w:val="en-US"/>
        </w:rPr>
        <w:t xml:space="preserve">(Paris: </w:t>
      </w:r>
      <w:r w:rsidRPr="008D6A9F">
        <w:rPr>
          <w:lang w:val="en-US"/>
        </w:rPr>
        <w:t>OECD Publishing</w:t>
      </w:r>
      <w:r w:rsidR="006365DD">
        <w:rPr>
          <w:lang w:val="en-US"/>
        </w:rPr>
        <w:t>)</w:t>
      </w:r>
    </w:p>
    <w:p w14:paraId="227737EE" w14:textId="448D7FDF" w:rsidR="00ED453A" w:rsidRPr="008D6A9F" w:rsidRDefault="00ED453A" w:rsidP="00C80465">
      <w:pPr>
        <w:pStyle w:val="Reference"/>
        <w:jc w:val="left"/>
        <w:rPr>
          <w:lang w:val="en-US"/>
        </w:rPr>
      </w:pPr>
      <w:r w:rsidRPr="008D6A9F">
        <w:rPr>
          <w:lang w:val="en-US"/>
        </w:rPr>
        <w:t xml:space="preserve">OECD 2016 </w:t>
      </w:r>
      <w:r w:rsidRPr="00C80465">
        <w:rPr>
          <w:i/>
          <w:iCs w:val="0"/>
          <w:lang w:val="en-US"/>
        </w:rPr>
        <w:t>Who are the low-performing students?</w:t>
      </w:r>
      <w:r w:rsidRPr="008D6A9F">
        <w:rPr>
          <w:lang w:val="en-US"/>
        </w:rPr>
        <w:t xml:space="preserve"> </w:t>
      </w:r>
      <w:r w:rsidR="006365DD">
        <w:rPr>
          <w:lang w:val="en-US"/>
        </w:rPr>
        <w:t>(Paris:</w:t>
      </w:r>
      <w:r w:rsidRPr="008D6A9F">
        <w:rPr>
          <w:lang w:val="en-US"/>
        </w:rPr>
        <w:t xml:space="preserve"> OECD Publishing</w:t>
      </w:r>
      <w:r w:rsidR="006365DD">
        <w:rPr>
          <w:lang w:val="en-US"/>
        </w:rPr>
        <w:t>)</w:t>
      </w:r>
    </w:p>
    <w:p w14:paraId="52A971AA" w14:textId="64A69484" w:rsidR="00ED453A" w:rsidRPr="008D6A9F" w:rsidRDefault="00ED453A" w:rsidP="00C80465">
      <w:pPr>
        <w:pStyle w:val="Reference"/>
        <w:jc w:val="left"/>
        <w:rPr>
          <w:lang w:val="en-US"/>
        </w:rPr>
      </w:pPr>
      <w:r w:rsidRPr="008D6A9F">
        <w:rPr>
          <w:lang w:val="en-US"/>
        </w:rPr>
        <w:t xml:space="preserve">OECD 2017a </w:t>
      </w:r>
      <w:r w:rsidRPr="00C80465">
        <w:rPr>
          <w:i/>
          <w:iCs w:val="0"/>
          <w:lang w:val="en-US"/>
        </w:rPr>
        <w:t>Are students happy? PISA 2015 Results: Students' Well-Being</w:t>
      </w:r>
      <w:r w:rsidRPr="008D6A9F">
        <w:rPr>
          <w:lang w:val="en-US"/>
        </w:rPr>
        <w:t xml:space="preserve"> </w:t>
      </w:r>
      <w:r w:rsidR="006365DD">
        <w:rPr>
          <w:lang w:val="en-US"/>
        </w:rPr>
        <w:t>(Paris: OECD Publishing)</w:t>
      </w:r>
    </w:p>
    <w:p w14:paraId="497A562E" w14:textId="064A1987" w:rsidR="00ED453A" w:rsidRPr="008D6A9F" w:rsidRDefault="00ED453A" w:rsidP="00C80465">
      <w:pPr>
        <w:pStyle w:val="Reference"/>
        <w:jc w:val="left"/>
        <w:rPr>
          <w:lang w:val="en-US"/>
        </w:rPr>
      </w:pPr>
      <w:r w:rsidRPr="008D6A9F">
        <w:rPr>
          <w:lang w:val="en-US"/>
        </w:rPr>
        <w:t xml:space="preserve">OECD 2017b </w:t>
      </w:r>
      <w:r w:rsidRPr="00C80465">
        <w:rPr>
          <w:i/>
          <w:iCs w:val="0"/>
          <w:lang w:val="en-US"/>
        </w:rPr>
        <w:t>PISA 2015 Results (Volume III): Students' Well-Being</w:t>
      </w:r>
      <w:r w:rsidR="00856CBB">
        <w:rPr>
          <w:lang w:val="en-US"/>
        </w:rPr>
        <w:t xml:space="preserve"> (Paris:</w:t>
      </w:r>
      <w:r w:rsidRPr="008D6A9F">
        <w:rPr>
          <w:lang w:val="en-US"/>
        </w:rPr>
        <w:t xml:space="preserve"> OECD Publishing</w:t>
      </w:r>
      <w:r w:rsidR="00856CBB">
        <w:rPr>
          <w:lang w:val="en-US"/>
        </w:rPr>
        <w:t>)</w:t>
      </w:r>
    </w:p>
    <w:p w14:paraId="7549113A" w14:textId="7316A48D" w:rsidR="00ED453A" w:rsidRPr="008D6A9F" w:rsidRDefault="00ED453A" w:rsidP="00C80465">
      <w:pPr>
        <w:pStyle w:val="Reference"/>
        <w:jc w:val="left"/>
        <w:rPr>
          <w:lang w:val="en-US"/>
        </w:rPr>
      </w:pPr>
      <w:r w:rsidRPr="008D6A9F">
        <w:rPr>
          <w:lang w:val="en-US"/>
        </w:rPr>
        <w:t xml:space="preserve">OECD 2018 </w:t>
      </w:r>
      <w:r w:rsidRPr="00C80465">
        <w:rPr>
          <w:i/>
          <w:iCs w:val="0"/>
          <w:lang w:val="en-US"/>
        </w:rPr>
        <w:t xml:space="preserve">What 15-Year-Old Students in Indonesia Know and Can </w:t>
      </w:r>
      <w:r w:rsidR="005F74FB" w:rsidRPr="00C80465">
        <w:rPr>
          <w:lang w:val="en-US"/>
        </w:rPr>
        <w:t>(</w:t>
      </w:r>
      <w:r w:rsidR="005F74FB">
        <w:rPr>
          <w:lang w:val="en-US"/>
        </w:rPr>
        <w:t>Paris: OECD Publishing)</w:t>
      </w:r>
    </w:p>
    <w:p w14:paraId="0F26DB34" w14:textId="46E7635E" w:rsidR="00ED453A" w:rsidRPr="008D6A9F" w:rsidRDefault="00ED453A" w:rsidP="00C80465">
      <w:pPr>
        <w:pStyle w:val="Reference"/>
        <w:jc w:val="left"/>
        <w:rPr>
          <w:lang w:val="en-US"/>
        </w:rPr>
      </w:pPr>
      <w:r w:rsidRPr="008D6A9F">
        <w:rPr>
          <w:lang w:val="en-US"/>
        </w:rPr>
        <w:t xml:space="preserve">OECD 2019a </w:t>
      </w:r>
      <w:r w:rsidRPr="00C80465">
        <w:rPr>
          <w:i/>
          <w:iCs w:val="0"/>
          <w:lang w:val="en-US"/>
        </w:rPr>
        <w:t>PISA 2018 Assessment and Analytical Framework</w:t>
      </w:r>
      <w:r w:rsidRPr="008D6A9F">
        <w:rPr>
          <w:lang w:val="en-US"/>
        </w:rPr>
        <w:t xml:space="preserve"> </w:t>
      </w:r>
      <w:r w:rsidR="005F74FB">
        <w:rPr>
          <w:lang w:val="en-US"/>
        </w:rPr>
        <w:t xml:space="preserve">(Paris: </w:t>
      </w:r>
      <w:r w:rsidRPr="008D6A9F">
        <w:rPr>
          <w:lang w:val="en-US"/>
        </w:rPr>
        <w:t>OECD Publishing</w:t>
      </w:r>
      <w:r w:rsidR="005F74FB">
        <w:rPr>
          <w:lang w:val="en-US"/>
        </w:rPr>
        <w:t>)</w:t>
      </w:r>
    </w:p>
    <w:p w14:paraId="60B41A8D" w14:textId="1135F68C" w:rsidR="00ED453A" w:rsidRPr="008D6A9F" w:rsidRDefault="00ED453A" w:rsidP="00C80465">
      <w:pPr>
        <w:pStyle w:val="Reference"/>
        <w:jc w:val="left"/>
        <w:rPr>
          <w:lang w:val="en-US"/>
        </w:rPr>
      </w:pPr>
      <w:r w:rsidRPr="008D6A9F">
        <w:rPr>
          <w:lang w:val="en-US"/>
        </w:rPr>
        <w:t xml:space="preserve">OECD 2019b </w:t>
      </w:r>
      <w:r w:rsidRPr="00C80465">
        <w:rPr>
          <w:i/>
          <w:iCs w:val="0"/>
          <w:lang w:val="en-US"/>
        </w:rPr>
        <w:t xml:space="preserve">PISA 2018 Results (Volume I): What Students Know and Can </w:t>
      </w:r>
      <w:r w:rsidR="009F2F04">
        <w:rPr>
          <w:i/>
          <w:iCs w:val="0"/>
          <w:lang w:val="en-US"/>
        </w:rPr>
        <w:t xml:space="preserve">Do </w:t>
      </w:r>
      <w:r w:rsidR="009F2F04" w:rsidRPr="00C80465">
        <w:rPr>
          <w:lang w:val="en-US"/>
        </w:rPr>
        <w:t>(</w:t>
      </w:r>
      <w:r w:rsidR="009F2F04">
        <w:rPr>
          <w:lang w:val="en-US"/>
        </w:rPr>
        <w:t xml:space="preserve">Paris: </w:t>
      </w:r>
      <w:r w:rsidRPr="008D6A9F">
        <w:rPr>
          <w:lang w:val="en-US"/>
        </w:rPr>
        <w:t>OECD Publishing</w:t>
      </w:r>
      <w:r w:rsidR="009F2F04">
        <w:rPr>
          <w:lang w:val="en-US"/>
        </w:rPr>
        <w:t>)</w:t>
      </w:r>
    </w:p>
    <w:p w14:paraId="786B8A0E" w14:textId="3ACF9D35" w:rsidR="00ED453A" w:rsidRDefault="00ED453A" w:rsidP="00C80465">
      <w:pPr>
        <w:pStyle w:val="Reference"/>
        <w:jc w:val="left"/>
        <w:rPr>
          <w:lang w:val="en-US"/>
        </w:rPr>
      </w:pPr>
      <w:r w:rsidRPr="008D6A9F">
        <w:rPr>
          <w:lang w:val="en-US"/>
        </w:rPr>
        <w:t xml:space="preserve">OECD 2019c </w:t>
      </w:r>
      <w:r w:rsidRPr="00C80465">
        <w:rPr>
          <w:i/>
          <w:iCs w:val="0"/>
          <w:lang w:val="en-US"/>
        </w:rPr>
        <w:t>PISA 2018 Results (Volume III): What School Life Means for Students' Lives</w:t>
      </w:r>
      <w:r w:rsidR="00966250">
        <w:rPr>
          <w:i/>
          <w:iCs w:val="0"/>
          <w:lang w:val="en-US"/>
        </w:rPr>
        <w:t xml:space="preserve"> </w:t>
      </w:r>
      <w:r w:rsidR="00966250">
        <w:rPr>
          <w:lang w:val="en-US"/>
        </w:rPr>
        <w:t>(Paris:</w:t>
      </w:r>
      <w:r w:rsidRPr="008D6A9F">
        <w:rPr>
          <w:lang w:val="en-US"/>
        </w:rPr>
        <w:t xml:space="preserve"> OECD Publishing</w:t>
      </w:r>
      <w:r w:rsidR="00966250">
        <w:rPr>
          <w:lang w:val="en-US"/>
        </w:rPr>
        <w:t>)</w:t>
      </w:r>
    </w:p>
    <w:p w14:paraId="3A0186CE" w14:textId="69019D9E" w:rsidR="00985095" w:rsidRPr="008D6A9F" w:rsidRDefault="00985095" w:rsidP="00C80465">
      <w:pPr>
        <w:pStyle w:val="Reference"/>
        <w:jc w:val="left"/>
        <w:rPr>
          <w:lang w:val="en-US"/>
        </w:rPr>
      </w:pPr>
      <w:r w:rsidRPr="00985095">
        <w:rPr>
          <w:rFonts w:cs="Times"/>
          <w:szCs w:val="24"/>
        </w:rPr>
        <w:t xml:space="preserve">Pakpahan R 2016 </w:t>
      </w:r>
      <w:r w:rsidRPr="00985095">
        <w:rPr>
          <w:rFonts w:cs="Times"/>
          <w:i/>
          <w:iCs w:val="0"/>
          <w:szCs w:val="24"/>
        </w:rPr>
        <w:t>Pend</w:t>
      </w:r>
      <w:r w:rsidR="005067A9">
        <w:rPr>
          <w:rFonts w:cs="Times"/>
          <w:i/>
          <w:iCs w:val="0"/>
          <w:szCs w:val="24"/>
        </w:rPr>
        <w:t>.</w:t>
      </w:r>
      <w:r w:rsidRPr="00985095">
        <w:rPr>
          <w:rFonts w:cs="Times"/>
          <w:i/>
          <w:iCs w:val="0"/>
          <w:szCs w:val="24"/>
        </w:rPr>
        <w:t xml:space="preserve"> Keb</w:t>
      </w:r>
      <w:r w:rsidR="005067A9">
        <w:rPr>
          <w:rFonts w:cs="Times"/>
          <w:i/>
          <w:iCs w:val="0"/>
          <w:szCs w:val="24"/>
        </w:rPr>
        <w:t>.</w:t>
      </w:r>
      <w:r w:rsidRPr="00985095">
        <w:rPr>
          <w:rFonts w:cs="Times"/>
          <w:szCs w:val="24"/>
        </w:rPr>
        <w:t xml:space="preserve"> </w:t>
      </w:r>
      <w:r w:rsidRPr="00C80465">
        <w:rPr>
          <w:rFonts w:cs="Times"/>
          <w:b/>
          <w:bCs/>
          <w:szCs w:val="24"/>
        </w:rPr>
        <w:t>1</w:t>
      </w:r>
      <w:r w:rsidR="005067A9">
        <w:rPr>
          <w:rFonts w:cs="Times"/>
          <w:szCs w:val="24"/>
        </w:rPr>
        <w:t xml:space="preserve"> </w:t>
      </w:r>
      <w:r w:rsidRPr="00985095">
        <w:rPr>
          <w:rFonts w:cs="Times"/>
          <w:szCs w:val="24"/>
        </w:rPr>
        <w:t>331–347.</w:t>
      </w:r>
    </w:p>
    <w:p w14:paraId="509C3E6F" w14:textId="74A63FC8" w:rsidR="00ED453A" w:rsidRPr="008D6A9F" w:rsidRDefault="00ED453A" w:rsidP="00C80465">
      <w:pPr>
        <w:pStyle w:val="Reference"/>
        <w:jc w:val="left"/>
        <w:rPr>
          <w:lang w:val="en-US"/>
        </w:rPr>
      </w:pPr>
      <w:r w:rsidRPr="008D6A9F">
        <w:rPr>
          <w:lang w:val="en-US"/>
        </w:rPr>
        <w:t xml:space="preserve">Pekrun R, Lichtenfeld S, Marsh HW, Murayama K </w:t>
      </w:r>
      <w:r w:rsidR="005D175F">
        <w:rPr>
          <w:lang w:val="en-US"/>
        </w:rPr>
        <w:t>and</w:t>
      </w:r>
      <w:r w:rsidRPr="008D6A9F">
        <w:rPr>
          <w:lang w:val="en-US"/>
        </w:rPr>
        <w:t xml:space="preserve"> Goetz T 2017</w:t>
      </w:r>
      <w:r w:rsidR="005067A9">
        <w:rPr>
          <w:lang w:val="en-US"/>
        </w:rPr>
        <w:t xml:space="preserve"> </w:t>
      </w:r>
      <w:r w:rsidRPr="00C80465">
        <w:rPr>
          <w:i/>
          <w:iCs w:val="0"/>
          <w:lang w:val="en-US"/>
        </w:rPr>
        <w:t>Child Dev</w:t>
      </w:r>
      <w:r w:rsidR="005067A9">
        <w:rPr>
          <w:i/>
          <w:iCs w:val="0"/>
          <w:lang w:val="en-US"/>
        </w:rPr>
        <w:t>.</w:t>
      </w:r>
      <w:r w:rsidRPr="00C80465">
        <w:rPr>
          <w:b/>
          <w:bCs/>
          <w:lang w:val="en-US"/>
        </w:rPr>
        <w:t>88</w:t>
      </w:r>
      <w:r w:rsidR="005067A9">
        <w:rPr>
          <w:lang w:val="en-US"/>
        </w:rPr>
        <w:t xml:space="preserve"> </w:t>
      </w:r>
      <w:r w:rsidRPr="008D6A9F">
        <w:rPr>
          <w:lang w:val="en-US"/>
        </w:rPr>
        <w:t>1653–</w:t>
      </w:r>
      <w:r w:rsidR="005067A9">
        <w:rPr>
          <w:lang w:val="en-US"/>
        </w:rPr>
        <w:t>70</w:t>
      </w:r>
    </w:p>
    <w:p w14:paraId="6C18C62D" w14:textId="28FA7854" w:rsidR="00985095" w:rsidRDefault="00ED453A" w:rsidP="00C80465">
      <w:pPr>
        <w:pStyle w:val="Reference"/>
        <w:jc w:val="left"/>
        <w:rPr>
          <w:lang w:val="en-US"/>
        </w:rPr>
      </w:pPr>
      <w:r w:rsidRPr="008D6A9F">
        <w:rPr>
          <w:lang w:val="en-US"/>
        </w:rPr>
        <w:lastRenderedPageBreak/>
        <w:t>Peugh JL 2010</w:t>
      </w:r>
      <w:r w:rsidR="005067A9">
        <w:rPr>
          <w:lang w:val="en-US"/>
        </w:rPr>
        <w:t xml:space="preserve"> </w:t>
      </w:r>
      <w:r w:rsidRPr="00C80465">
        <w:rPr>
          <w:i/>
          <w:iCs w:val="0"/>
          <w:lang w:val="en-US"/>
        </w:rPr>
        <w:t>J</w:t>
      </w:r>
      <w:r w:rsidR="005067A9">
        <w:rPr>
          <w:i/>
          <w:iCs w:val="0"/>
          <w:lang w:val="en-US"/>
        </w:rPr>
        <w:t>.</w:t>
      </w:r>
      <w:r w:rsidRPr="00C80465">
        <w:rPr>
          <w:i/>
          <w:iCs w:val="0"/>
          <w:lang w:val="en-US"/>
        </w:rPr>
        <w:t>Sch</w:t>
      </w:r>
      <w:r w:rsidR="005067A9">
        <w:rPr>
          <w:i/>
          <w:iCs w:val="0"/>
          <w:lang w:val="en-US"/>
        </w:rPr>
        <w:t>.</w:t>
      </w:r>
      <w:r w:rsidRPr="00C80465">
        <w:rPr>
          <w:i/>
          <w:iCs w:val="0"/>
          <w:lang w:val="en-US"/>
        </w:rPr>
        <w:t xml:space="preserve"> Psy</w:t>
      </w:r>
      <w:r w:rsidR="005067A9">
        <w:rPr>
          <w:i/>
          <w:iCs w:val="0"/>
          <w:lang w:val="en-US"/>
        </w:rPr>
        <w:t>.</w:t>
      </w:r>
      <w:r w:rsidRPr="008D6A9F">
        <w:rPr>
          <w:lang w:val="en-US"/>
        </w:rPr>
        <w:t xml:space="preserve"> </w:t>
      </w:r>
      <w:r w:rsidRPr="00C80465">
        <w:rPr>
          <w:b/>
          <w:bCs/>
          <w:iCs w:val="0"/>
          <w:lang w:val="en-US"/>
        </w:rPr>
        <w:t>48</w:t>
      </w:r>
      <w:r w:rsidRPr="008D6A9F">
        <w:rPr>
          <w:lang w:val="en-US"/>
        </w:rPr>
        <w:t xml:space="preserve"> 85-112</w:t>
      </w:r>
    </w:p>
    <w:p w14:paraId="2BE6EC2F" w14:textId="7BFC1FA5" w:rsidR="00D03E79" w:rsidRPr="00CF6DB5" w:rsidRDefault="00D03E79" w:rsidP="00C80465">
      <w:pPr>
        <w:pStyle w:val="Reference"/>
        <w:jc w:val="left"/>
        <w:rPr>
          <w:lang w:val="en-US"/>
        </w:rPr>
      </w:pPr>
      <w:r w:rsidRPr="00D03E79">
        <w:t xml:space="preserve">Pinheiro J, Bates D, DebRoy S, Sarkar D, Heisterkamp S, Van Willigen B </w:t>
      </w:r>
      <w:r>
        <w:t>and</w:t>
      </w:r>
      <w:r w:rsidRPr="00D03E79">
        <w:t xml:space="preserve"> Maintainer R 2017</w:t>
      </w:r>
      <w:r>
        <w:t xml:space="preserve"> </w:t>
      </w:r>
      <w:r w:rsidRPr="00D03E79">
        <w:rPr>
          <w:i/>
        </w:rPr>
        <w:t>Linear and nonlinear mixed effects models</w:t>
      </w:r>
    </w:p>
    <w:sectPr w:rsidR="00D03E79" w:rsidRPr="00CF6DB5">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8B925" w14:textId="77777777" w:rsidR="00C86B57" w:rsidRDefault="00C86B57">
      <w:r>
        <w:separator/>
      </w:r>
    </w:p>
  </w:endnote>
  <w:endnote w:type="continuationSeparator" w:id="0">
    <w:p w14:paraId="0D88EB0F" w14:textId="77777777" w:rsidR="00C86B57" w:rsidRDefault="00C86B57">
      <w:r>
        <w:continuationSeparator/>
      </w:r>
    </w:p>
  </w:endnote>
  <w:endnote w:type="continuationNotice" w:id="1">
    <w:p w14:paraId="4F01C777" w14:textId="77777777" w:rsidR="00AD3410" w:rsidRDefault="00AD3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7ADD2" w14:textId="77777777" w:rsidR="00C86B57" w:rsidRPr="00043761" w:rsidRDefault="00C86B57">
      <w:pPr>
        <w:pStyle w:val="Bulleted"/>
        <w:numPr>
          <w:ilvl w:val="0"/>
          <w:numId w:val="0"/>
        </w:numPr>
        <w:rPr>
          <w:rFonts w:ascii="Sabon" w:hAnsi="Sabon"/>
          <w:color w:val="auto"/>
          <w:szCs w:val="20"/>
        </w:rPr>
      </w:pPr>
      <w:r>
        <w:separator/>
      </w:r>
    </w:p>
  </w:footnote>
  <w:footnote w:type="continuationSeparator" w:id="0">
    <w:p w14:paraId="49BE4CD2" w14:textId="77777777" w:rsidR="00C86B57" w:rsidRDefault="00C86B57">
      <w:r>
        <w:continuationSeparator/>
      </w:r>
    </w:p>
  </w:footnote>
  <w:footnote w:type="continuationNotice" w:id="1">
    <w:p w14:paraId="3DE34548" w14:textId="77777777" w:rsidR="00AD3410" w:rsidRDefault="00AD3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B593C" w14:textId="77777777" w:rsidR="00C86B57" w:rsidRDefault="00C86B57"/>
  <w:p w14:paraId="0E4B0B4C" w14:textId="77777777" w:rsidR="00C86B57" w:rsidRDefault="00C86B57"/>
  <w:p w14:paraId="6FFD146F" w14:textId="77777777" w:rsidR="00C86B57" w:rsidRDefault="00C86B57"/>
  <w:p w14:paraId="5B05EA02" w14:textId="77777777" w:rsidR="00C86B57" w:rsidRDefault="00C86B57"/>
  <w:p w14:paraId="0CEF44BE" w14:textId="77777777" w:rsidR="00C86B57" w:rsidRDefault="00C86B57"/>
  <w:p w14:paraId="522CE3B8" w14:textId="77777777" w:rsidR="00C86B57" w:rsidRDefault="00C86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B6186"/>
    <w:multiLevelType w:val="multilevel"/>
    <w:tmpl w:val="3F1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E235D6"/>
    <w:multiLevelType w:val="hybridMultilevel"/>
    <w:tmpl w:val="66B244F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Judu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Judul3"/>
      <w:lvlText w:val="(%3)"/>
      <w:lvlJc w:val="left"/>
      <w:pPr>
        <w:tabs>
          <w:tab w:val="num" w:pos="720"/>
        </w:tabs>
        <w:ind w:left="720" w:hanging="432"/>
      </w:pPr>
    </w:lvl>
    <w:lvl w:ilvl="3">
      <w:start w:val="1"/>
      <w:numFmt w:val="lowerRoman"/>
      <w:pStyle w:val="Judul4"/>
      <w:lvlText w:val="(%4)"/>
      <w:lvlJc w:val="right"/>
      <w:pPr>
        <w:tabs>
          <w:tab w:val="num" w:pos="864"/>
        </w:tabs>
        <w:ind w:left="864" w:hanging="144"/>
      </w:pPr>
    </w:lvl>
    <w:lvl w:ilvl="4">
      <w:start w:val="1"/>
      <w:numFmt w:val="decimal"/>
      <w:pStyle w:val="Judul5"/>
      <w:lvlText w:val="%5)"/>
      <w:lvlJc w:val="left"/>
      <w:pPr>
        <w:tabs>
          <w:tab w:val="num" w:pos="1008"/>
        </w:tabs>
        <w:ind w:left="1008" w:hanging="432"/>
      </w:pPr>
    </w:lvl>
    <w:lvl w:ilvl="5">
      <w:start w:val="1"/>
      <w:numFmt w:val="lowerLetter"/>
      <w:pStyle w:val="Judul6"/>
      <w:lvlText w:val="%6)"/>
      <w:lvlJc w:val="left"/>
      <w:pPr>
        <w:tabs>
          <w:tab w:val="num" w:pos="1152"/>
        </w:tabs>
        <w:ind w:left="1152" w:hanging="432"/>
      </w:pPr>
    </w:lvl>
    <w:lvl w:ilvl="6">
      <w:start w:val="1"/>
      <w:numFmt w:val="lowerRoman"/>
      <w:pStyle w:val="Judul7"/>
      <w:lvlText w:val="%7)"/>
      <w:lvlJc w:val="right"/>
      <w:pPr>
        <w:tabs>
          <w:tab w:val="num" w:pos="1296"/>
        </w:tabs>
        <w:ind w:left="1296" w:hanging="288"/>
      </w:pPr>
    </w:lvl>
    <w:lvl w:ilvl="7">
      <w:start w:val="1"/>
      <w:numFmt w:val="lowerLetter"/>
      <w:pStyle w:val="Judul8"/>
      <w:lvlText w:val="%8."/>
      <w:lvlJc w:val="left"/>
      <w:pPr>
        <w:tabs>
          <w:tab w:val="num" w:pos="1440"/>
        </w:tabs>
        <w:ind w:left="1440" w:hanging="432"/>
      </w:pPr>
    </w:lvl>
    <w:lvl w:ilvl="8">
      <w:start w:val="1"/>
      <w:numFmt w:val="lowerRoman"/>
      <w:pStyle w:val="Judul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footnote w:id="-1"/>
    <w:footnote w:id="0"/>
    <w:footnote w:id="1"/>
  </w:footnotePr>
  <w:endnotePr>
    <w:numFmt w:val="chicago"/>
    <w:numStart w:val="4"/>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273B1"/>
    <w:rsid w:val="00031164"/>
    <w:rsid w:val="00072A01"/>
    <w:rsid w:val="0007428C"/>
    <w:rsid w:val="00077C2E"/>
    <w:rsid w:val="00091D7B"/>
    <w:rsid w:val="000C07DF"/>
    <w:rsid w:val="000E0844"/>
    <w:rsid w:val="000E0D20"/>
    <w:rsid w:val="000F3BAC"/>
    <w:rsid w:val="00105D5A"/>
    <w:rsid w:val="00110A1E"/>
    <w:rsid w:val="00115EBB"/>
    <w:rsid w:val="001169E4"/>
    <w:rsid w:val="001514D9"/>
    <w:rsid w:val="001526ED"/>
    <w:rsid w:val="00176991"/>
    <w:rsid w:val="00182716"/>
    <w:rsid w:val="001A70D3"/>
    <w:rsid w:val="001B61F3"/>
    <w:rsid w:val="001E3FA1"/>
    <w:rsid w:val="00202635"/>
    <w:rsid w:val="00217A99"/>
    <w:rsid w:val="00220CE2"/>
    <w:rsid w:val="00253CC6"/>
    <w:rsid w:val="002573F7"/>
    <w:rsid w:val="00282E12"/>
    <w:rsid w:val="00286788"/>
    <w:rsid w:val="002B02E3"/>
    <w:rsid w:val="002B2DB0"/>
    <w:rsid w:val="002C1B58"/>
    <w:rsid w:val="002D4F2F"/>
    <w:rsid w:val="00301812"/>
    <w:rsid w:val="00314DF1"/>
    <w:rsid w:val="00346163"/>
    <w:rsid w:val="003A22A0"/>
    <w:rsid w:val="003A59EE"/>
    <w:rsid w:val="004053F3"/>
    <w:rsid w:val="00405B21"/>
    <w:rsid w:val="00411B66"/>
    <w:rsid w:val="004205AE"/>
    <w:rsid w:val="004545EE"/>
    <w:rsid w:val="004705FE"/>
    <w:rsid w:val="004747D2"/>
    <w:rsid w:val="004C68C3"/>
    <w:rsid w:val="004E565E"/>
    <w:rsid w:val="004F4122"/>
    <w:rsid w:val="005067A9"/>
    <w:rsid w:val="005144B5"/>
    <w:rsid w:val="00514A6D"/>
    <w:rsid w:val="005158FA"/>
    <w:rsid w:val="00517790"/>
    <w:rsid w:val="00536146"/>
    <w:rsid w:val="00541C05"/>
    <w:rsid w:val="005516B8"/>
    <w:rsid w:val="00581378"/>
    <w:rsid w:val="005927B8"/>
    <w:rsid w:val="00595206"/>
    <w:rsid w:val="005B2288"/>
    <w:rsid w:val="005D175F"/>
    <w:rsid w:val="005F74FB"/>
    <w:rsid w:val="00605661"/>
    <w:rsid w:val="0062281A"/>
    <w:rsid w:val="00624390"/>
    <w:rsid w:val="00634603"/>
    <w:rsid w:val="006365DD"/>
    <w:rsid w:val="006654B3"/>
    <w:rsid w:val="006679B3"/>
    <w:rsid w:val="006822FD"/>
    <w:rsid w:val="006961B9"/>
    <w:rsid w:val="006A70BD"/>
    <w:rsid w:val="006F45A4"/>
    <w:rsid w:val="00733CB3"/>
    <w:rsid w:val="00753C5A"/>
    <w:rsid w:val="0076656B"/>
    <w:rsid w:val="007777AF"/>
    <w:rsid w:val="007A692B"/>
    <w:rsid w:val="007B1648"/>
    <w:rsid w:val="007D1B49"/>
    <w:rsid w:val="007E6CB9"/>
    <w:rsid w:val="00845CA4"/>
    <w:rsid w:val="00856CBB"/>
    <w:rsid w:val="008A1939"/>
    <w:rsid w:val="008A6AFF"/>
    <w:rsid w:val="008B357D"/>
    <w:rsid w:val="008B4A06"/>
    <w:rsid w:val="008D6A9F"/>
    <w:rsid w:val="00921D02"/>
    <w:rsid w:val="00936FAD"/>
    <w:rsid w:val="00966250"/>
    <w:rsid w:val="00985095"/>
    <w:rsid w:val="009A0487"/>
    <w:rsid w:val="009D595D"/>
    <w:rsid w:val="009E0C5F"/>
    <w:rsid w:val="009F2F04"/>
    <w:rsid w:val="00A33734"/>
    <w:rsid w:val="00A62F18"/>
    <w:rsid w:val="00A7210B"/>
    <w:rsid w:val="00A81A2A"/>
    <w:rsid w:val="00A9764F"/>
    <w:rsid w:val="00AB2159"/>
    <w:rsid w:val="00AB4684"/>
    <w:rsid w:val="00AD3410"/>
    <w:rsid w:val="00B05982"/>
    <w:rsid w:val="00B21DC5"/>
    <w:rsid w:val="00B26CD3"/>
    <w:rsid w:val="00B36C7D"/>
    <w:rsid w:val="00B550F1"/>
    <w:rsid w:val="00B56F95"/>
    <w:rsid w:val="00B83F45"/>
    <w:rsid w:val="00BA0FA1"/>
    <w:rsid w:val="00BA126C"/>
    <w:rsid w:val="00BB4A85"/>
    <w:rsid w:val="00BF2CA3"/>
    <w:rsid w:val="00BF43DA"/>
    <w:rsid w:val="00C157E8"/>
    <w:rsid w:val="00C22568"/>
    <w:rsid w:val="00C31147"/>
    <w:rsid w:val="00C80465"/>
    <w:rsid w:val="00C86B57"/>
    <w:rsid w:val="00CB1774"/>
    <w:rsid w:val="00CD5665"/>
    <w:rsid w:val="00CF5537"/>
    <w:rsid w:val="00CF6DB5"/>
    <w:rsid w:val="00D02116"/>
    <w:rsid w:val="00D03E79"/>
    <w:rsid w:val="00D14221"/>
    <w:rsid w:val="00D1435E"/>
    <w:rsid w:val="00D55EAD"/>
    <w:rsid w:val="00D84041"/>
    <w:rsid w:val="00D90D9C"/>
    <w:rsid w:val="00DA205B"/>
    <w:rsid w:val="00DC3CEE"/>
    <w:rsid w:val="00DD3B78"/>
    <w:rsid w:val="00DF2E42"/>
    <w:rsid w:val="00DF5A20"/>
    <w:rsid w:val="00E15772"/>
    <w:rsid w:val="00E20E87"/>
    <w:rsid w:val="00E87AB8"/>
    <w:rsid w:val="00EB4EB4"/>
    <w:rsid w:val="00ED453A"/>
    <w:rsid w:val="00EF4726"/>
    <w:rsid w:val="00EF6BE4"/>
    <w:rsid w:val="00F03556"/>
    <w:rsid w:val="00F07CF9"/>
    <w:rsid w:val="00F27B0A"/>
    <w:rsid w:val="00F33BF3"/>
    <w:rsid w:val="00F77D5B"/>
    <w:rsid w:val="00F97094"/>
    <w:rsid w:val="00FB0A50"/>
    <w:rsid w:val="00FB66AB"/>
    <w:rsid w:val="00FB6C68"/>
    <w:rsid w:val="00FE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AA3F3E"/>
  <w15:docId w15:val="{489299A3-F013-441C-806A-F51D4425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Judul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Judul2">
    <w:name w:val="heading 2"/>
    <w:basedOn w:val="Subsection"/>
    <w:next w:val="Normal"/>
    <w:autoRedefine/>
    <w:qFormat/>
    <w:rsid w:val="00733CB3"/>
    <w:pPr>
      <w:outlineLvl w:val="1"/>
    </w:pPr>
    <w:rPr>
      <w:i/>
    </w:rPr>
  </w:style>
  <w:style w:type="paragraph" w:styleId="Judul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Judul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Judul5">
    <w:name w:val="heading 5"/>
    <w:basedOn w:val="Normal"/>
    <w:next w:val="Normal"/>
    <w:qFormat/>
    <w:pPr>
      <w:numPr>
        <w:ilvl w:val="4"/>
        <w:numId w:val="1"/>
      </w:numPr>
      <w:spacing w:before="240" w:after="60"/>
      <w:outlineLvl w:val="4"/>
    </w:pPr>
    <w:rPr>
      <w:b/>
      <w:bCs/>
      <w:i/>
      <w:iCs/>
      <w:sz w:val="26"/>
      <w:szCs w:val="26"/>
    </w:rPr>
  </w:style>
  <w:style w:type="paragraph" w:styleId="Judul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Judul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Judul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Judul9">
    <w:name w:val="heading 9"/>
    <w:basedOn w:val="Normal"/>
    <w:next w:val="Normal"/>
    <w:qFormat/>
    <w:pPr>
      <w:numPr>
        <w:ilvl w:val="8"/>
        <w:numId w:val="1"/>
      </w:numPr>
      <w:spacing w:before="240" w:after="60"/>
      <w:outlineLvl w:val="8"/>
    </w:pPr>
    <w:rPr>
      <w:rFonts w:ascii="Arial" w:hAnsi="Arial" w:cs="Arial"/>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TeksCatatanKaki">
    <w:name w:val="footnote text"/>
    <w:basedOn w:val="Normal"/>
    <w:semiHidden/>
    <w:rPr>
      <w:sz w:val="20"/>
    </w:rPr>
  </w:style>
  <w:style w:type="character" w:styleId="ReferensiCatatanKaki">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TeksCatatanAkhir">
    <w:name w:val="endnote text"/>
    <w:basedOn w:val="Normal"/>
    <w:semiHidden/>
    <w:rPr>
      <w:sz w:val="20"/>
    </w:rPr>
  </w:style>
  <w:style w:type="character" w:styleId="ReferensiCatatanAkhir">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NomorHalaman">
    <w:name w:val="page number"/>
    <w:basedOn w:val="FontParagrafDefault"/>
    <w:semiHidden/>
  </w:style>
  <w:style w:type="paragraph" w:styleId="Judul">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FontParagrafDefault"/>
    <w:uiPriority w:val="99"/>
    <w:unhideWhenUsed/>
    <w:rsid w:val="00FB66AB"/>
    <w:rPr>
      <w:color w:val="0000FF" w:themeColor="hyperlink"/>
      <w:u w:val="single"/>
    </w:rPr>
  </w:style>
  <w:style w:type="character" w:styleId="SebutanYangBelumTerselesaikan">
    <w:name w:val="Unresolved Mention"/>
    <w:basedOn w:val="FontParagrafDefault"/>
    <w:uiPriority w:val="99"/>
    <w:semiHidden/>
    <w:unhideWhenUsed/>
    <w:rsid w:val="00FB66AB"/>
    <w:rPr>
      <w:color w:val="605E5C"/>
      <w:shd w:val="clear" w:color="auto" w:fill="E1DFDD"/>
    </w:rPr>
  </w:style>
  <w:style w:type="table" w:styleId="KisiTabel">
    <w:name w:val="Table Grid"/>
    <w:basedOn w:val="TabelNormal"/>
    <w:uiPriority w:val="59"/>
    <w:rsid w:val="00A3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346163"/>
    <w:rPr>
      <w:rFonts w:ascii="Segoe UI" w:hAnsi="Segoe UI" w:cs="Segoe UI"/>
      <w:sz w:val="18"/>
      <w:szCs w:val="18"/>
    </w:rPr>
  </w:style>
  <w:style w:type="character" w:customStyle="1" w:styleId="TeksBalonKAR">
    <w:name w:val="Teks Balon KAR"/>
    <w:basedOn w:val="FontParagrafDefault"/>
    <w:link w:val="TeksBalon"/>
    <w:uiPriority w:val="99"/>
    <w:semiHidden/>
    <w:rsid w:val="00346163"/>
    <w:rPr>
      <w:rFonts w:ascii="Segoe UI" w:hAnsi="Segoe UI" w:cs="Segoe UI"/>
      <w:sz w:val="18"/>
      <w:szCs w:val="18"/>
      <w:lang w:eastAsia="en-US"/>
    </w:rPr>
  </w:style>
  <w:style w:type="character" w:styleId="ReferensiKomentar">
    <w:name w:val="annotation reference"/>
    <w:basedOn w:val="FontParagrafDefault"/>
    <w:uiPriority w:val="99"/>
    <w:semiHidden/>
    <w:unhideWhenUsed/>
    <w:rsid w:val="002573F7"/>
    <w:rPr>
      <w:sz w:val="16"/>
      <w:szCs w:val="16"/>
    </w:rPr>
  </w:style>
  <w:style w:type="paragraph" w:styleId="TeksKomentar">
    <w:name w:val="annotation text"/>
    <w:basedOn w:val="Normal"/>
    <w:link w:val="TeksKomentarKAR"/>
    <w:uiPriority w:val="99"/>
    <w:semiHidden/>
    <w:unhideWhenUsed/>
    <w:rsid w:val="002573F7"/>
    <w:rPr>
      <w:sz w:val="20"/>
    </w:rPr>
  </w:style>
  <w:style w:type="character" w:customStyle="1" w:styleId="TeksKomentarKAR">
    <w:name w:val="Teks Komentar KAR"/>
    <w:basedOn w:val="FontParagrafDefault"/>
    <w:link w:val="TeksKomentar"/>
    <w:uiPriority w:val="99"/>
    <w:semiHidden/>
    <w:rsid w:val="002573F7"/>
    <w:rPr>
      <w:rFonts w:ascii="Times" w:hAnsi="Times"/>
      <w:lang w:eastAsia="en-US"/>
    </w:rPr>
  </w:style>
  <w:style w:type="paragraph" w:styleId="SubjekKomentar">
    <w:name w:val="annotation subject"/>
    <w:basedOn w:val="TeksKomentar"/>
    <w:next w:val="TeksKomentar"/>
    <w:link w:val="SubjekKomentarKAR"/>
    <w:uiPriority w:val="99"/>
    <w:semiHidden/>
    <w:unhideWhenUsed/>
    <w:rsid w:val="002573F7"/>
    <w:rPr>
      <w:b/>
      <w:bCs/>
    </w:rPr>
  </w:style>
  <w:style w:type="character" w:customStyle="1" w:styleId="SubjekKomentarKAR">
    <w:name w:val="Subjek Komentar KAR"/>
    <w:basedOn w:val="TeksKomentarKAR"/>
    <w:link w:val="SubjekKomentar"/>
    <w:uiPriority w:val="99"/>
    <w:semiHidden/>
    <w:rsid w:val="002573F7"/>
    <w:rPr>
      <w:rFonts w:ascii="Times" w:hAnsi="Times"/>
      <w:b/>
      <w:bCs/>
      <w:lang w:eastAsia="en-US"/>
    </w:rPr>
  </w:style>
  <w:style w:type="paragraph" w:styleId="Footer">
    <w:name w:val="footer"/>
    <w:basedOn w:val="Normal"/>
    <w:link w:val="FooterKAR"/>
    <w:uiPriority w:val="99"/>
    <w:unhideWhenUsed/>
    <w:rsid w:val="00EB4EB4"/>
    <w:pPr>
      <w:tabs>
        <w:tab w:val="center" w:pos="4513"/>
        <w:tab w:val="right" w:pos="9026"/>
      </w:tabs>
    </w:pPr>
  </w:style>
  <w:style w:type="character" w:customStyle="1" w:styleId="FooterKAR">
    <w:name w:val="Footer KAR"/>
    <w:basedOn w:val="FontParagrafDefault"/>
    <w:link w:val="Footer"/>
    <w:uiPriority w:val="99"/>
    <w:rsid w:val="00EB4EB4"/>
    <w:rPr>
      <w:rFonts w:ascii="Times" w:hAnsi="Times"/>
      <w:sz w:val="22"/>
      <w:lang w:eastAsia="en-US"/>
    </w:rPr>
  </w:style>
  <w:style w:type="paragraph" w:styleId="Header">
    <w:name w:val="header"/>
    <w:basedOn w:val="Normal"/>
    <w:link w:val="HeaderKAR"/>
    <w:uiPriority w:val="99"/>
    <w:unhideWhenUsed/>
    <w:rsid w:val="00EB4EB4"/>
    <w:pPr>
      <w:tabs>
        <w:tab w:val="center" w:pos="4513"/>
        <w:tab w:val="right" w:pos="9026"/>
      </w:tabs>
    </w:pPr>
  </w:style>
  <w:style w:type="character" w:customStyle="1" w:styleId="HeaderKAR">
    <w:name w:val="Header KAR"/>
    <w:basedOn w:val="FontParagrafDefault"/>
    <w:link w:val="Header"/>
    <w:uiPriority w:val="99"/>
    <w:rsid w:val="00EB4EB4"/>
    <w:rPr>
      <w:rFonts w:ascii="Times" w:hAnsi="Times"/>
      <w:sz w:val="22"/>
      <w:lang w:eastAsia="en-US"/>
    </w:rPr>
  </w:style>
  <w:style w:type="paragraph" w:styleId="Revisi">
    <w:name w:val="Revision"/>
    <w:hidden/>
    <w:uiPriority w:val="99"/>
    <w:semiHidden/>
    <w:rsid w:val="00595206"/>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671">
      <w:bodyDiv w:val="1"/>
      <w:marLeft w:val="0"/>
      <w:marRight w:val="0"/>
      <w:marTop w:val="0"/>
      <w:marBottom w:val="0"/>
      <w:divBdr>
        <w:top w:val="none" w:sz="0" w:space="0" w:color="auto"/>
        <w:left w:val="none" w:sz="0" w:space="0" w:color="auto"/>
        <w:bottom w:val="none" w:sz="0" w:space="0" w:color="auto"/>
        <w:right w:val="none" w:sz="0" w:space="0" w:color="auto"/>
      </w:divBdr>
    </w:div>
    <w:div w:id="89812915">
      <w:bodyDiv w:val="1"/>
      <w:marLeft w:val="0"/>
      <w:marRight w:val="0"/>
      <w:marTop w:val="0"/>
      <w:marBottom w:val="0"/>
      <w:divBdr>
        <w:top w:val="none" w:sz="0" w:space="0" w:color="auto"/>
        <w:left w:val="none" w:sz="0" w:space="0" w:color="auto"/>
        <w:bottom w:val="none" w:sz="0" w:space="0" w:color="auto"/>
        <w:right w:val="none" w:sz="0" w:space="0" w:color="auto"/>
      </w:divBdr>
    </w:div>
    <w:div w:id="93326364">
      <w:bodyDiv w:val="1"/>
      <w:marLeft w:val="0"/>
      <w:marRight w:val="0"/>
      <w:marTop w:val="0"/>
      <w:marBottom w:val="0"/>
      <w:divBdr>
        <w:top w:val="none" w:sz="0" w:space="0" w:color="auto"/>
        <w:left w:val="none" w:sz="0" w:space="0" w:color="auto"/>
        <w:bottom w:val="none" w:sz="0" w:space="0" w:color="auto"/>
        <w:right w:val="none" w:sz="0" w:space="0" w:color="auto"/>
      </w:divBdr>
    </w:div>
    <w:div w:id="130294698">
      <w:bodyDiv w:val="1"/>
      <w:marLeft w:val="0"/>
      <w:marRight w:val="0"/>
      <w:marTop w:val="0"/>
      <w:marBottom w:val="0"/>
      <w:divBdr>
        <w:top w:val="none" w:sz="0" w:space="0" w:color="auto"/>
        <w:left w:val="none" w:sz="0" w:space="0" w:color="auto"/>
        <w:bottom w:val="none" w:sz="0" w:space="0" w:color="auto"/>
        <w:right w:val="none" w:sz="0" w:space="0" w:color="auto"/>
      </w:divBdr>
    </w:div>
    <w:div w:id="179129596">
      <w:bodyDiv w:val="1"/>
      <w:marLeft w:val="0"/>
      <w:marRight w:val="0"/>
      <w:marTop w:val="0"/>
      <w:marBottom w:val="0"/>
      <w:divBdr>
        <w:top w:val="none" w:sz="0" w:space="0" w:color="auto"/>
        <w:left w:val="none" w:sz="0" w:space="0" w:color="auto"/>
        <w:bottom w:val="none" w:sz="0" w:space="0" w:color="auto"/>
        <w:right w:val="none" w:sz="0" w:space="0" w:color="auto"/>
      </w:divBdr>
    </w:div>
    <w:div w:id="324088025">
      <w:bodyDiv w:val="1"/>
      <w:marLeft w:val="0"/>
      <w:marRight w:val="0"/>
      <w:marTop w:val="0"/>
      <w:marBottom w:val="0"/>
      <w:divBdr>
        <w:top w:val="none" w:sz="0" w:space="0" w:color="auto"/>
        <w:left w:val="none" w:sz="0" w:space="0" w:color="auto"/>
        <w:bottom w:val="none" w:sz="0" w:space="0" w:color="auto"/>
        <w:right w:val="none" w:sz="0" w:space="0" w:color="auto"/>
      </w:divBdr>
    </w:div>
    <w:div w:id="346062278">
      <w:bodyDiv w:val="1"/>
      <w:marLeft w:val="0"/>
      <w:marRight w:val="0"/>
      <w:marTop w:val="0"/>
      <w:marBottom w:val="0"/>
      <w:divBdr>
        <w:top w:val="none" w:sz="0" w:space="0" w:color="auto"/>
        <w:left w:val="none" w:sz="0" w:space="0" w:color="auto"/>
        <w:bottom w:val="none" w:sz="0" w:space="0" w:color="auto"/>
        <w:right w:val="none" w:sz="0" w:space="0" w:color="auto"/>
      </w:divBdr>
    </w:div>
    <w:div w:id="432820112">
      <w:bodyDiv w:val="1"/>
      <w:marLeft w:val="0"/>
      <w:marRight w:val="0"/>
      <w:marTop w:val="0"/>
      <w:marBottom w:val="0"/>
      <w:divBdr>
        <w:top w:val="none" w:sz="0" w:space="0" w:color="auto"/>
        <w:left w:val="none" w:sz="0" w:space="0" w:color="auto"/>
        <w:bottom w:val="none" w:sz="0" w:space="0" w:color="auto"/>
        <w:right w:val="none" w:sz="0" w:space="0" w:color="auto"/>
      </w:divBdr>
    </w:div>
    <w:div w:id="449666450">
      <w:bodyDiv w:val="1"/>
      <w:marLeft w:val="0"/>
      <w:marRight w:val="0"/>
      <w:marTop w:val="0"/>
      <w:marBottom w:val="0"/>
      <w:divBdr>
        <w:top w:val="none" w:sz="0" w:space="0" w:color="auto"/>
        <w:left w:val="none" w:sz="0" w:space="0" w:color="auto"/>
        <w:bottom w:val="none" w:sz="0" w:space="0" w:color="auto"/>
        <w:right w:val="none" w:sz="0" w:space="0" w:color="auto"/>
      </w:divBdr>
    </w:div>
    <w:div w:id="462626341">
      <w:bodyDiv w:val="1"/>
      <w:marLeft w:val="0"/>
      <w:marRight w:val="0"/>
      <w:marTop w:val="0"/>
      <w:marBottom w:val="0"/>
      <w:divBdr>
        <w:top w:val="none" w:sz="0" w:space="0" w:color="auto"/>
        <w:left w:val="none" w:sz="0" w:space="0" w:color="auto"/>
        <w:bottom w:val="none" w:sz="0" w:space="0" w:color="auto"/>
        <w:right w:val="none" w:sz="0" w:space="0" w:color="auto"/>
      </w:divBdr>
    </w:div>
    <w:div w:id="481847321">
      <w:bodyDiv w:val="1"/>
      <w:marLeft w:val="0"/>
      <w:marRight w:val="0"/>
      <w:marTop w:val="0"/>
      <w:marBottom w:val="0"/>
      <w:divBdr>
        <w:top w:val="none" w:sz="0" w:space="0" w:color="auto"/>
        <w:left w:val="none" w:sz="0" w:space="0" w:color="auto"/>
        <w:bottom w:val="none" w:sz="0" w:space="0" w:color="auto"/>
        <w:right w:val="none" w:sz="0" w:space="0" w:color="auto"/>
      </w:divBdr>
    </w:div>
    <w:div w:id="524560183">
      <w:bodyDiv w:val="1"/>
      <w:marLeft w:val="0"/>
      <w:marRight w:val="0"/>
      <w:marTop w:val="0"/>
      <w:marBottom w:val="0"/>
      <w:divBdr>
        <w:top w:val="none" w:sz="0" w:space="0" w:color="auto"/>
        <w:left w:val="none" w:sz="0" w:space="0" w:color="auto"/>
        <w:bottom w:val="none" w:sz="0" w:space="0" w:color="auto"/>
        <w:right w:val="none" w:sz="0" w:space="0" w:color="auto"/>
      </w:divBdr>
    </w:div>
    <w:div w:id="604072959">
      <w:bodyDiv w:val="1"/>
      <w:marLeft w:val="0"/>
      <w:marRight w:val="0"/>
      <w:marTop w:val="0"/>
      <w:marBottom w:val="0"/>
      <w:divBdr>
        <w:top w:val="none" w:sz="0" w:space="0" w:color="auto"/>
        <w:left w:val="none" w:sz="0" w:space="0" w:color="auto"/>
        <w:bottom w:val="none" w:sz="0" w:space="0" w:color="auto"/>
        <w:right w:val="none" w:sz="0" w:space="0" w:color="auto"/>
      </w:divBdr>
    </w:div>
    <w:div w:id="630088054">
      <w:bodyDiv w:val="1"/>
      <w:marLeft w:val="0"/>
      <w:marRight w:val="0"/>
      <w:marTop w:val="0"/>
      <w:marBottom w:val="0"/>
      <w:divBdr>
        <w:top w:val="none" w:sz="0" w:space="0" w:color="auto"/>
        <w:left w:val="none" w:sz="0" w:space="0" w:color="auto"/>
        <w:bottom w:val="none" w:sz="0" w:space="0" w:color="auto"/>
        <w:right w:val="none" w:sz="0" w:space="0" w:color="auto"/>
      </w:divBdr>
    </w:div>
    <w:div w:id="681127451">
      <w:bodyDiv w:val="1"/>
      <w:marLeft w:val="0"/>
      <w:marRight w:val="0"/>
      <w:marTop w:val="0"/>
      <w:marBottom w:val="0"/>
      <w:divBdr>
        <w:top w:val="none" w:sz="0" w:space="0" w:color="auto"/>
        <w:left w:val="none" w:sz="0" w:space="0" w:color="auto"/>
        <w:bottom w:val="none" w:sz="0" w:space="0" w:color="auto"/>
        <w:right w:val="none" w:sz="0" w:space="0" w:color="auto"/>
      </w:divBdr>
    </w:div>
    <w:div w:id="835069966">
      <w:bodyDiv w:val="1"/>
      <w:marLeft w:val="0"/>
      <w:marRight w:val="0"/>
      <w:marTop w:val="0"/>
      <w:marBottom w:val="0"/>
      <w:divBdr>
        <w:top w:val="none" w:sz="0" w:space="0" w:color="auto"/>
        <w:left w:val="none" w:sz="0" w:space="0" w:color="auto"/>
        <w:bottom w:val="none" w:sz="0" w:space="0" w:color="auto"/>
        <w:right w:val="none" w:sz="0" w:space="0" w:color="auto"/>
      </w:divBdr>
    </w:div>
    <w:div w:id="868029065">
      <w:bodyDiv w:val="1"/>
      <w:marLeft w:val="0"/>
      <w:marRight w:val="0"/>
      <w:marTop w:val="0"/>
      <w:marBottom w:val="0"/>
      <w:divBdr>
        <w:top w:val="none" w:sz="0" w:space="0" w:color="auto"/>
        <w:left w:val="none" w:sz="0" w:space="0" w:color="auto"/>
        <w:bottom w:val="none" w:sz="0" w:space="0" w:color="auto"/>
        <w:right w:val="none" w:sz="0" w:space="0" w:color="auto"/>
      </w:divBdr>
    </w:div>
    <w:div w:id="872689965">
      <w:bodyDiv w:val="1"/>
      <w:marLeft w:val="0"/>
      <w:marRight w:val="0"/>
      <w:marTop w:val="0"/>
      <w:marBottom w:val="0"/>
      <w:divBdr>
        <w:top w:val="none" w:sz="0" w:space="0" w:color="auto"/>
        <w:left w:val="none" w:sz="0" w:space="0" w:color="auto"/>
        <w:bottom w:val="none" w:sz="0" w:space="0" w:color="auto"/>
        <w:right w:val="none" w:sz="0" w:space="0" w:color="auto"/>
      </w:divBdr>
    </w:div>
    <w:div w:id="889995950">
      <w:bodyDiv w:val="1"/>
      <w:marLeft w:val="0"/>
      <w:marRight w:val="0"/>
      <w:marTop w:val="0"/>
      <w:marBottom w:val="0"/>
      <w:divBdr>
        <w:top w:val="none" w:sz="0" w:space="0" w:color="auto"/>
        <w:left w:val="none" w:sz="0" w:space="0" w:color="auto"/>
        <w:bottom w:val="none" w:sz="0" w:space="0" w:color="auto"/>
        <w:right w:val="none" w:sz="0" w:space="0" w:color="auto"/>
      </w:divBdr>
    </w:div>
    <w:div w:id="932589625">
      <w:bodyDiv w:val="1"/>
      <w:marLeft w:val="0"/>
      <w:marRight w:val="0"/>
      <w:marTop w:val="0"/>
      <w:marBottom w:val="0"/>
      <w:divBdr>
        <w:top w:val="none" w:sz="0" w:space="0" w:color="auto"/>
        <w:left w:val="none" w:sz="0" w:space="0" w:color="auto"/>
        <w:bottom w:val="none" w:sz="0" w:space="0" w:color="auto"/>
        <w:right w:val="none" w:sz="0" w:space="0" w:color="auto"/>
      </w:divBdr>
    </w:div>
    <w:div w:id="1018703998">
      <w:bodyDiv w:val="1"/>
      <w:marLeft w:val="0"/>
      <w:marRight w:val="0"/>
      <w:marTop w:val="0"/>
      <w:marBottom w:val="0"/>
      <w:divBdr>
        <w:top w:val="none" w:sz="0" w:space="0" w:color="auto"/>
        <w:left w:val="none" w:sz="0" w:space="0" w:color="auto"/>
        <w:bottom w:val="none" w:sz="0" w:space="0" w:color="auto"/>
        <w:right w:val="none" w:sz="0" w:space="0" w:color="auto"/>
      </w:divBdr>
    </w:div>
    <w:div w:id="1098872837">
      <w:bodyDiv w:val="1"/>
      <w:marLeft w:val="0"/>
      <w:marRight w:val="0"/>
      <w:marTop w:val="0"/>
      <w:marBottom w:val="0"/>
      <w:divBdr>
        <w:top w:val="none" w:sz="0" w:space="0" w:color="auto"/>
        <w:left w:val="none" w:sz="0" w:space="0" w:color="auto"/>
        <w:bottom w:val="none" w:sz="0" w:space="0" w:color="auto"/>
        <w:right w:val="none" w:sz="0" w:space="0" w:color="auto"/>
      </w:divBdr>
    </w:div>
    <w:div w:id="1131436608">
      <w:bodyDiv w:val="1"/>
      <w:marLeft w:val="0"/>
      <w:marRight w:val="0"/>
      <w:marTop w:val="0"/>
      <w:marBottom w:val="0"/>
      <w:divBdr>
        <w:top w:val="none" w:sz="0" w:space="0" w:color="auto"/>
        <w:left w:val="none" w:sz="0" w:space="0" w:color="auto"/>
        <w:bottom w:val="none" w:sz="0" w:space="0" w:color="auto"/>
        <w:right w:val="none" w:sz="0" w:space="0" w:color="auto"/>
      </w:divBdr>
    </w:div>
    <w:div w:id="1156802882">
      <w:bodyDiv w:val="1"/>
      <w:marLeft w:val="0"/>
      <w:marRight w:val="0"/>
      <w:marTop w:val="0"/>
      <w:marBottom w:val="0"/>
      <w:divBdr>
        <w:top w:val="none" w:sz="0" w:space="0" w:color="auto"/>
        <w:left w:val="none" w:sz="0" w:space="0" w:color="auto"/>
        <w:bottom w:val="none" w:sz="0" w:space="0" w:color="auto"/>
        <w:right w:val="none" w:sz="0" w:space="0" w:color="auto"/>
      </w:divBdr>
    </w:div>
    <w:div w:id="1196310397">
      <w:bodyDiv w:val="1"/>
      <w:marLeft w:val="0"/>
      <w:marRight w:val="0"/>
      <w:marTop w:val="0"/>
      <w:marBottom w:val="0"/>
      <w:divBdr>
        <w:top w:val="none" w:sz="0" w:space="0" w:color="auto"/>
        <w:left w:val="none" w:sz="0" w:space="0" w:color="auto"/>
        <w:bottom w:val="none" w:sz="0" w:space="0" w:color="auto"/>
        <w:right w:val="none" w:sz="0" w:space="0" w:color="auto"/>
      </w:divBdr>
    </w:div>
    <w:div w:id="1204175665">
      <w:bodyDiv w:val="1"/>
      <w:marLeft w:val="0"/>
      <w:marRight w:val="0"/>
      <w:marTop w:val="0"/>
      <w:marBottom w:val="0"/>
      <w:divBdr>
        <w:top w:val="none" w:sz="0" w:space="0" w:color="auto"/>
        <w:left w:val="none" w:sz="0" w:space="0" w:color="auto"/>
        <w:bottom w:val="none" w:sz="0" w:space="0" w:color="auto"/>
        <w:right w:val="none" w:sz="0" w:space="0" w:color="auto"/>
      </w:divBdr>
    </w:div>
    <w:div w:id="1243300306">
      <w:bodyDiv w:val="1"/>
      <w:marLeft w:val="0"/>
      <w:marRight w:val="0"/>
      <w:marTop w:val="0"/>
      <w:marBottom w:val="0"/>
      <w:divBdr>
        <w:top w:val="none" w:sz="0" w:space="0" w:color="auto"/>
        <w:left w:val="none" w:sz="0" w:space="0" w:color="auto"/>
        <w:bottom w:val="none" w:sz="0" w:space="0" w:color="auto"/>
        <w:right w:val="none" w:sz="0" w:space="0" w:color="auto"/>
      </w:divBdr>
    </w:div>
    <w:div w:id="1247955389">
      <w:bodyDiv w:val="1"/>
      <w:marLeft w:val="0"/>
      <w:marRight w:val="0"/>
      <w:marTop w:val="0"/>
      <w:marBottom w:val="0"/>
      <w:divBdr>
        <w:top w:val="none" w:sz="0" w:space="0" w:color="auto"/>
        <w:left w:val="none" w:sz="0" w:space="0" w:color="auto"/>
        <w:bottom w:val="none" w:sz="0" w:space="0" w:color="auto"/>
        <w:right w:val="none" w:sz="0" w:space="0" w:color="auto"/>
      </w:divBdr>
    </w:div>
    <w:div w:id="1329095248">
      <w:bodyDiv w:val="1"/>
      <w:marLeft w:val="0"/>
      <w:marRight w:val="0"/>
      <w:marTop w:val="0"/>
      <w:marBottom w:val="0"/>
      <w:divBdr>
        <w:top w:val="none" w:sz="0" w:space="0" w:color="auto"/>
        <w:left w:val="none" w:sz="0" w:space="0" w:color="auto"/>
        <w:bottom w:val="none" w:sz="0" w:space="0" w:color="auto"/>
        <w:right w:val="none" w:sz="0" w:space="0" w:color="auto"/>
      </w:divBdr>
    </w:div>
    <w:div w:id="1363095308">
      <w:bodyDiv w:val="1"/>
      <w:marLeft w:val="0"/>
      <w:marRight w:val="0"/>
      <w:marTop w:val="0"/>
      <w:marBottom w:val="0"/>
      <w:divBdr>
        <w:top w:val="none" w:sz="0" w:space="0" w:color="auto"/>
        <w:left w:val="none" w:sz="0" w:space="0" w:color="auto"/>
        <w:bottom w:val="none" w:sz="0" w:space="0" w:color="auto"/>
        <w:right w:val="none" w:sz="0" w:space="0" w:color="auto"/>
      </w:divBdr>
    </w:div>
    <w:div w:id="1391491668">
      <w:bodyDiv w:val="1"/>
      <w:marLeft w:val="0"/>
      <w:marRight w:val="0"/>
      <w:marTop w:val="0"/>
      <w:marBottom w:val="0"/>
      <w:divBdr>
        <w:top w:val="none" w:sz="0" w:space="0" w:color="auto"/>
        <w:left w:val="none" w:sz="0" w:space="0" w:color="auto"/>
        <w:bottom w:val="none" w:sz="0" w:space="0" w:color="auto"/>
        <w:right w:val="none" w:sz="0" w:space="0" w:color="auto"/>
      </w:divBdr>
    </w:div>
    <w:div w:id="1394507454">
      <w:bodyDiv w:val="1"/>
      <w:marLeft w:val="0"/>
      <w:marRight w:val="0"/>
      <w:marTop w:val="0"/>
      <w:marBottom w:val="0"/>
      <w:divBdr>
        <w:top w:val="none" w:sz="0" w:space="0" w:color="auto"/>
        <w:left w:val="none" w:sz="0" w:space="0" w:color="auto"/>
        <w:bottom w:val="none" w:sz="0" w:space="0" w:color="auto"/>
        <w:right w:val="none" w:sz="0" w:space="0" w:color="auto"/>
      </w:divBdr>
    </w:div>
    <w:div w:id="1398282990">
      <w:bodyDiv w:val="1"/>
      <w:marLeft w:val="0"/>
      <w:marRight w:val="0"/>
      <w:marTop w:val="0"/>
      <w:marBottom w:val="0"/>
      <w:divBdr>
        <w:top w:val="none" w:sz="0" w:space="0" w:color="auto"/>
        <w:left w:val="none" w:sz="0" w:space="0" w:color="auto"/>
        <w:bottom w:val="none" w:sz="0" w:space="0" w:color="auto"/>
        <w:right w:val="none" w:sz="0" w:space="0" w:color="auto"/>
      </w:divBdr>
    </w:div>
    <w:div w:id="1452360516">
      <w:bodyDiv w:val="1"/>
      <w:marLeft w:val="0"/>
      <w:marRight w:val="0"/>
      <w:marTop w:val="0"/>
      <w:marBottom w:val="0"/>
      <w:divBdr>
        <w:top w:val="none" w:sz="0" w:space="0" w:color="auto"/>
        <w:left w:val="none" w:sz="0" w:space="0" w:color="auto"/>
        <w:bottom w:val="none" w:sz="0" w:space="0" w:color="auto"/>
        <w:right w:val="none" w:sz="0" w:space="0" w:color="auto"/>
      </w:divBdr>
    </w:div>
    <w:div w:id="1461144528">
      <w:bodyDiv w:val="1"/>
      <w:marLeft w:val="0"/>
      <w:marRight w:val="0"/>
      <w:marTop w:val="0"/>
      <w:marBottom w:val="0"/>
      <w:divBdr>
        <w:top w:val="none" w:sz="0" w:space="0" w:color="auto"/>
        <w:left w:val="none" w:sz="0" w:space="0" w:color="auto"/>
        <w:bottom w:val="none" w:sz="0" w:space="0" w:color="auto"/>
        <w:right w:val="none" w:sz="0" w:space="0" w:color="auto"/>
      </w:divBdr>
    </w:div>
    <w:div w:id="1501430638">
      <w:bodyDiv w:val="1"/>
      <w:marLeft w:val="0"/>
      <w:marRight w:val="0"/>
      <w:marTop w:val="0"/>
      <w:marBottom w:val="0"/>
      <w:divBdr>
        <w:top w:val="none" w:sz="0" w:space="0" w:color="auto"/>
        <w:left w:val="none" w:sz="0" w:space="0" w:color="auto"/>
        <w:bottom w:val="none" w:sz="0" w:space="0" w:color="auto"/>
        <w:right w:val="none" w:sz="0" w:space="0" w:color="auto"/>
      </w:divBdr>
    </w:div>
    <w:div w:id="1524827821">
      <w:bodyDiv w:val="1"/>
      <w:marLeft w:val="0"/>
      <w:marRight w:val="0"/>
      <w:marTop w:val="0"/>
      <w:marBottom w:val="0"/>
      <w:divBdr>
        <w:top w:val="none" w:sz="0" w:space="0" w:color="auto"/>
        <w:left w:val="none" w:sz="0" w:space="0" w:color="auto"/>
        <w:bottom w:val="none" w:sz="0" w:space="0" w:color="auto"/>
        <w:right w:val="none" w:sz="0" w:space="0" w:color="auto"/>
      </w:divBdr>
    </w:div>
    <w:div w:id="1547529074">
      <w:bodyDiv w:val="1"/>
      <w:marLeft w:val="0"/>
      <w:marRight w:val="0"/>
      <w:marTop w:val="0"/>
      <w:marBottom w:val="0"/>
      <w:divBdr>
        <w:top w:val="none" w:sz="0" w:space="0" w:color="auto"/>
        <w:left w:val="none" w:sz="0" w:space="0" w:color="auto"/>
        <w:bottom w:val="none" w:sz="0" w:space="0" w:color="auto"/>
        <w:right w:val="none" w:sz="0" w:space="0" w:color="auto"/>
      </w:divBdr>
    </w:div>
    <w:div w:id="1567302925">
      <w:bodyDiv w:val="1"/>
      <w:marLeft w:val="0"/>
      <w:marRight w:val="0"/>
      <w:marTop w:val="0"/>
      <w:marBottom w:val="0"/>
      <w:divBdr>
        <w:top w:val="none" w:sz="0" w:space="0" w:color="auto"/>
        <w:left w:val="none" w:sz="0" w:space="0" w:color="auto"/>
        <w:bottom w:val="none" w:sz="0" w:space="0" w:color="auto"/>
        <w:right w:val="none" w:sz="0" w:space="0" w:color="auto"/>
      </w:divBdr>
    </w:div>
    <w:div w:id="1621033974">
      <w:bodyDiv w:val="1"/>
      <w:marLeft w:val="0"/>
      <w:marRight w:val="0"/>
      <w:marTop w:val="0"/>
      <w:marBottom w:val="0"/>
      <w:divBdr>
        <w:top w:val="none" w:sz="0" w:space="0" w:color="auto"/>
        <w:left w:val="none" w:sz="0" w:space="0" w:color="auto"/>
        <w:bottom w:val="none" w:sz="0" w:space="0" w:color="auto"/>
        <w:right w:val="none" w:sz="0" w:space="0" w:color="auto"/>
      </w:divBdr>
    </w:div>
    <w:div w:id="1653487093">
      <w:bodyDiv w:val="1"/>
      <w:marLeft w:val="0"/>
      <w:marRight w:val="0"/>
      <w:marTop w:val="0"/>
      <w:marBottom w:val="0"/>
      <w:divBdr>
        <w:top w:val="none" w:sz="0" w:space="0" w:color="auto"/>
        <w:left w:val="none" w:sz="0" w:space="0" w:color="auto"/>
        <w:bottom w:val="none" w:sz="0" w:space="0" w:color="auto"/>
        <w:right w:val="none" w:sz="0" w:space="0" w:color="auto"/>
      </w:divBdr>
    </w:div>
    <w:div w:id="1715688122">
      <w:bodyDiv w:val="1"/>
      <w:marLeft w:val="0"/>
      <w:marRight w:val="0"/>
      <w:marTop w:val="0"/>
      <w:marBottom w:val="0"/>
      <w:divBdr>
        <w:top w:val="none" w:sz="0" w:space="0" w:color="auto"/>
        <w:left w:val="none" w:sz="0" w:space="0" w:color="auto"/>
        <w:bottom w:val="none" w:sz="0" w:space="0" w:color="auto"/>
        <w:right w:val="none" w:sz="0" w:space="0" w:color="auto"/>
      </w:divBdr>
    </w:div>
    <w:div w:id="1790204915">
      <w:bodyDiv w:val="1"/>
      <w:marLeft w:val="0"/>
      <w:marRight w:val="0"/>
      <w:marTop w:val="0"/>
      <w:marBottom w:val="0"/>
      <w:divBdr>
        <w:top w:val="none" w:sz="0" w:space="0" w:color="auto"/>
        <w:left w:val="none" w:sz="0" w:space="0" w:color="auto"/>
        <w:bottom w:val="none" w:sz="0" w:space="0" w:color="auto"/>
        <w:right w:val="none" w:sz="0" w:space="0" w:color="auto"/>
      </w:divBdr>
    </w:div>
    <w:div w:id="1836988967">
      <w:bodyDiv w:val="1"/>
      <w:marLeft w:val="0"/>
      <w:marRight w:val="0"/>
      <w:marTop w:val="0"/>
      <w:marBottom w:val="0"/>
      <w:divBdr>
        <w:top w:val="none" w:sz="0" w:space="0" w:color="auto"/>
        <w:left w:val="none" w:sz="0" w:space="0" w:color="auto"/>
        <w:bottom w:val="none" w:sz="0" w:space="0" w:color="auto"/>
        <w:right w:val="none" w:sz="0" w:space="0" w:color="auto"/>
      </w:divBdr>
    </w:div>
    <w:div w:id="1847359495">
      <w:bodyDiv w:val="1"/>
      <w:marLeft w:val="0"/>
      <w:marRight w:val="0"/>
      <w:marTop w:val="0"/>
      <w:marBottom w:val="0"/>
      <w:divBdr>
        <w:top w:val="none" w:sz="0" w:space="0" w:color="auto"/>
        <w:left w:val="none" w:sz="0" w:space="0" w:color="auto"/>
        <w:bottom w:val="none" w:sz="0" w:space="0" w:color="auto"/>
        <w:right w:val="none" w:sz="0" w:space="0" w:color="auto"/>
      </w:divBdr>
    </w:div>
    <w:div w:id="1931084685">
      <w:bodyDiv w:val="1"/>
      <w:marLeft w:val="0"/>
      <w:marRight w:val="0"/>
      <w:marTop w:val="0"/>
      <w:marBottom w:val="0"/>
      <w:divBdr>
        <w:top w:val="none" w:sz="0" w:space="0" w:color="auto"/>
        <w:left w:val="none" w:sz="0" w:space="0" w:color="auto"/>
        <w:bottom w:val="none" w:sz="0" w:space="0" w:color="auto"/>
        <w:right w:val="none" w:sz="0" w:space="0" w:color="auto"/>
      </w:divBdr>
    </w:div>
    <w:div w:id="1972200689">
      <w:bodyDiv w:val="1"/>
      <w:marLeft w:val="0"/>
      <w:marRight w:val="0"/>
      <w:marTop w:val="0"/>
      <w:marBottom w:val="0"/>
      <w:divBdr>
        <w:top w:val="none" w:sz="0" w:space="0" w:color="auto"/>
        <w:left w:val="none" w:sz="0" w:space="0" w:color="auto"/>
        <w:bottom w:val="none" w:sz="0" w:space="0" w:color="auto"/>
        <w:right w:val="none" w:sz="0" w:space="0" w:color="auto"/>
      </w:divBdr>
    </w:div>
    <w:div w:id="2031373641">
      <w:bodyDiv w:val="1"/>
      <w:marLeft w:val="0"/>
      <w:marRight w:val="0"/>
      <w:marTop w:val="0"/>
      <w:marBottom w:val="0"/>
      <w:divBdr>
        <w:top w:val="none" w:sz="0" w:space="0" w:color="auto"/>
        <w:left w:val="none" w:sz="0" w:space="0" w:color="auto"/>
        <w:bottom w:val="none" w:sz="0" w:space="0" w:color="auto"/>
        <w:right w:val="none" w:sz="0" w:space="0" w:color="auto"/>
      </w:divBdr>
    </w:div>
    <w:div w:id="21355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31</TotalTime>
  <Pages>7</Pages>
  <Words>11518</Words>
  <Characters>65657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Andhika Wildan Krisnamurti</dc:creator>
  <cp:keywords>open access, proceedings, template, fast, affordable, flexible</cp:keywords>
  <cp:lastModifiedBy>Andhika Wildan Krisnamurti</cp:lastModifiedBy>
  <cp:revision>42</cp:revision>
  <cp:lastPrinted>2005-02-25T09:52:00Z</cp:lastPrinted>
  <dcterms:created xsi:type="dcterms:W3CDTF">2020-08-03T04:33:00Z</dcterms:created>
  <dcterms:modified xsi:type="dcterms:W3CDTF">2020-08-14T04:32:00Z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09801bee-cceb-3426-8e34-53dc2bb1fbe6</vt:lpwstr>
  </property>
  <property fmtid="{D5CDD505-2E9C-101B-9397-08002B2CF9AE}" pid="24" name="Mendeley Citation Style_1">
    <vt:lpwstr>http://www.zotero.org/styles/apa</vt:lpwstr>
  </property>
</Properties>
</file>