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0742AFC0" w:rsidR="0016385D" w:rsidRPr="00075EA6" w:rsidRDefault="00097067" w:rsidP="00090674">
      <w:pPr>
        <w:pStyle w:val="PaperTitle"/>
        <w:rPr>
          <w:b w:val="0"/>
          <w:bCs/>
          <w:sz w:val="24"/>
          <w:szCs w:val="24"/>
        </w:rPr>
      </w:pPr>
      <w:r w:rsidRPr="00097067">
        <w:t xml:space="preserve">The Effectiveness of Learning Packages Integrated Computational Thinking Skills on Elementary School Students’ Abilities in Thinking Computationally and Solving Mathematics Computational Problems  </w:t>
      </w:r>
      <w:r w:rsidR="00A90413" w:rsidRPr="00075EA6">
        <w:br/>
      </w:r>
    </w:p>
    <w:p w14:paraId="548D96A3" w14:textId="2449B793" w:rsidR="00C14B14" w:rsidRDefault="00097067" w:rsidP="2F830975">
      <w:pPr>
        <w:pStyle w:val="AuthorName"/>
        <w:rPr>
          <w:sz w:val="20"/>
          <w:lang w:val="en-GB" w:eastAsia="en-GB"/>
        </w:rPr>
      </w:pPr>
      <w:proofErr w:type="spellStart"/>
      <w:r>
        <w:t>Hisyam</w:t>
      </w:r>
      <w:proofErr w:type="spellEnd"/>
      <w:r>
        <w:t xml:space="preserve"> Ihsan</w:t>
      </w:r>
      <w:r w:rsidR="00EF6940" w:rsidRPr="2F830975">
        <w:rPr>
          <w:vertAlign w:val="superscript"/>
        </w:rPr>
        <w:t>1,</w:t>
      </w:r>
      <w:r w:rsidR="003A5C85" w:rsidRPr="2F830975">
        <w:rPr>
          <w:vertAlign w:val="superscript"/>
        </w:rPr>
        <w:t xml:space="preserve"> </w:t>
      </w:r>
      <w:r w:rsidR="00EF6940" w:rsidRPr="2F830975">
        <w:rPr>
          <w:vertAlign w:val="superscript"/>
        </w:rPr>
        <w:t>a)</w:t>
      </w:r>
      <w:r>
        <w:t>, Sutamrin</w:t>
      </w:r>
      <w:proofErr w:type="gramStart"/>
      <w:r w:rsidRPr="2F830975">
        <w:rPr>
          <w:vertAlign w:val="superscript"/>
        </w:rPr>
        <w:t>2,b</w:t>
      </w:r>
      <w:proofErr w:type="gramEnd"/>
      <w:r>
        <w:rPr>
          <w:vertAlign w:val="superscript"/>
        </w:rPr>
        <w:t>)</w:t>
      </w:r>
      <w:r>
        <w:t xml:space="preserve">, </w:t>
      </w:r>
      <w:proofErr w:type="spellStart"/>
      <w:r>
        <w:t>Fajar</w:t>
      </w:r>
      <w:proofErr w:type="spellEnd"/>
      <w:r>
        <w:t xml:space="preserve"> Arwadi</w:t>
      </w:r>
      <w:r w:rsidRPr="2F830975">
        <w:rPr>
          <w:vertAlign w:val="superscript"/>
        </w:rPr>
        <w:t>3</w:t>
      </w:r>
      <w:r w:rsidR="007B4863" w:rsidRPr="2F830975">
        <w:rPr>
          <w:vertAlign w:val="superscript"/>
        </w:rPr>
        <w:t>,</w:t>
      </w:r>
      <w:r w:rsidRPr="00097067">
        <w:rPr>
          <w:vertAlign w:val="superscript"/>
        </w:rPr>
        <w:t xml:space="preserve"> </w:t>
      </w:r>
      <w:r w:rsidRPr="2F830975">
        <w:rPr>
          <w:vertAlign w:val="superscript"/>
        </w:rPr>
        <w:t>,b</w:t>
      </w:r>
      <w:r w:rsidR="003A5C85" w:rsidRPr="2F830975">
        <w:rPr>
          <w:vertAlign w:val="superscript"/>
        </w:rPr>
        <w:t>)</w:t>
      </w:r>
      <w:r w:rsidR="0016385D">
        <w:br/>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 xml:space="preserve">(Use Times New Roman Font: 10 </w:t>
      </w:r>
      <w:proofErr w:type="spellStart"/>
      <w:r w:rsidR="00812F29" w:rsidRPr="2F830975">
        <w:rPr>
          <w:lang w:val="en-GB" w:eastAsia="en-GB"/>
        </w:rPr>
        <w:t>pt</w:t>
      </w:r>
      <w:proofErr w:type="spellEnd"/>
      <w:r w:rsidR="00812F29" w:rsidRPr="2F830975">
        <w:rPr>
          <w:lang w:val="en-GB" w:eastAsia="en-GB"/>
        </w:rPr>
        <w:t xml:space="preserve">, Italic, </w:t>
      </w:r>
      <w:proofErr w:type="spellStart"/>
      <w:proofErr w:type="gramStart"/>
      <w:r w:rsidR="00812F29" w:rsidRPr="2F830975">
        <w:rPr>
          <w:lang w:val="en-GB" w:eastAsia="en-GB"/>
        </w:rPr>
        <w:t>Centered</w:t>
      </w:r>
      <w:proofErr w:type="spellEnd"/>
      <w:r w:rsidR="00812F29" w:rsidRPr="2F830975">
        <w:rPr>
          <w:lang w:val="en-GB" w:eastAsia="en-GB"/>
        </w:rPr>
        <w:t>)</w:t>
      </w:r>
      <w:r w:rsidR="006D372F" w:rsidRPr="2F830975">
        <w:rPr>
          <w:lang w:val="en-GB" w:eastAsia="en-GB"/>
        </w:rPr>
        <w:t>(</w:t>
      </w:r>
      <w:proofErr w:type="gramEnd"/>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166DFB5F" w:rsidR="00C14B14" w:rsidRDefault="00027428" w:rsidP="00C14B14">
      <w:pPr>
        <w:pStyle w:val="AuthorAffiliation"/>
      </w:pPr>
      <w:r w:rsidRPr="00075EA6">
        <w:rPr>
          <w:i w:val="0"/>
          <w:iCs/>
          <w:vertAlign w:val="superscript"/>
        </w:rPr>
        <w:t>1</w:t>
      </w:r>
      <w:r w:rsidR="00097067">
        <w:t xml:space="preserve">Universitas Negeri Makassar, A.P. </w:t>
      </w:r>
      <w:proofErr w:type="spellStart"/>
      <w:r w:rsidR="00097067">
        <w:t>Pettarani</w:t>
      </w:r>
      <w:proofErr w:type="spellEnd"/>
      <w:r w:rsidR="00097067">
        <w:t xml:space="preserve"> Street, Indonesia, 90222</w:t>
      </w:r>
      <w:r w:rsidR="0016782F" w:rsidRPr="00075EA6">
        <w:t>.</w:t>
      </w:r>
    </w:p>
    <w:p w14:paraId="1540EEFF" w14:textId="06F5F1F8" w:rsidR="00C14B14" w:rsidRPr="00075EA6" w:rsidRDefault="0016782F" w:rsidP="00C14B14">
      <w:pPr>
        <w:pStyle w:val="AuthorAffiliation"/>
      </w:pPr>
      <w:r w:rsidRPr="00075EA6">
        <w:t xml:space="preserve"> </w:t>
      </w:r>
      <w:r w:rsidR="00C14B14" w:rsidRPr="00075EA6">
        <w:rPr>
          <w:i w:val="0"/>
          <w:iCs/>
          <w:vertAlign w:val="superscript"/>
        </w:rPr>
        <w:t>2</w:t>
      </w:r>
      <w:r w:rsidR="009E220D">
        <w:t xml:space="preserve">Universitas Negeri Makassar, A.P. </w:t>
      </w:r>
      <w:proofErr w:type="spellStart"/>
      <w:r w:rsidR="009E220D">
        <w:t>Pettarani</w:t>
      </w:r>
      <w:proofErr w:type="spellEnd"/>
      <w:r w:rsidR="009E220D">
        <w:t xml:space="preserve"> Street, Indonesia, 90222</w:t>
      </w:r>
    </w:p>
    <w:p w14:paraId="5932951D" w14:textId="0C80B8E4" w:rsidR="009E220D" w:rsidRPr="00075EA6" w:rsidRDefault="00C14B14" w:rsidP="009E220D">
      <w:pPr>
        <w:pStyle w:val="AuthorAffiliation"/>
      </w:pPr>
      <w:r w:rsidRPr="00075EA6">
        <w:rPr>
          <w:i w:val="0"/>
          <w:iCs/>
          <w:vertAlign w:val="superscript"/>
        </w:rPr>
        <w:t>3</w:t>
      </w:r>
      <w:r w:rsidR="009E220D" w:rsidRPr="009E220D">
        <w:t xml:space="preserve"> </w:t>
      </w:r>
      <w:r w:rsidR="009E220D">
        <w:t xml:space="preserve">Universitas Negeri Makassar, A.P. </w:t>
      </w:r>
      <w:proofErr w:type="spellStart"/>
      <w:r w:rsidR="009E220D">
        <w:t>Pettarani</w:t>
      </w:r>
      <w:proofErr w:type="spellEnd"/>
      <w:r w:rsidR="009E220D">
        <w:t xml:space="preserve"> Street, Indonesia, 90222</w:t>
      </w:r>
    </w:p>
    <w:p w14:paraId="771D6B6C" w14:textId="048F6775" w:rsidR="00C14B14" w:rsidRPr="00075EA6" w:rsidRDefault="00C14B14" w:rsidP="00C14B14">
      <w:pPr>
        <w:pStyle w:val="AuthorAffiliation"/>
      </w:pPr>
      <w:r>
        <w:t>.</w:t>
      </w:r>
    </w:p>
    <w:p w14:paraId="3EAF16AE" w14:textId="77777777" w:rsidR="00C14B14" w:rsidRDefault="00C14B14" w:rsidP="00C14B14">
      <w:pPr>
        <w:pStyle w:val="AuthorAffiliation"/>
      </w:pPr>
      <w:r w:rsidRPr="00075EA6">
        <w:br/>
      </w:r>
      <w:r>
        <w:t>Author Emails</w:t>
      </w:r>
    </w:p>
    <w:p w14:paraId="5781EB6B" w14:textId="27418F8B" w:rsidR="009E220D" w:rsidRPr="00DD112B" w:rsidRDefault="00ED4A2C">
      <w:pPr>
        <w:pStyle w:val="AuthorEmail"/>
        <w:rPr>
          <w:rStyle w:val="Hyperlink"/>
        </w:rPr>
      </w:pPr>
      <w:r w:rsidRPr="00075EA6">
        <w:br/>
      </w:r>
      <w:r w:rsidR="00003D7C" w:rsidRPr="00075EA6">
        <w:rPr>
          <w:szCs w:val="28"/>
          <w:vertAlign w:val="superscript"/>
        </w:rPr>
        <w:t>a)</w:t>
      </w:r>
      <w:r w:rsidR="00003D7C" w:rsidRPr="00075EA6">
        <w:t xml:space="preserve"> Corresponding</w:t>
      </w:r>
      <w:r w:rsidR="004E3CB2" w:rsidRPr="00075EA6">
        <w:t xml:space="preserve"> author: </w:t>
      </w:r>
      <w:hyperlink r:id="rId9" w:history="1">
        <w:r w:rsidR="009E220D" w:rsidRPr="00413141">
          <w:rPr>
            <w:rStyle w:val="Hyperlink"/>
          </w:rPr>
          <w:t>hisyamihsan@unm.ac.id</w:t>
        </w:r>
      </w:hyperlink>
      <w:r w:rsidR="009E220D">
        <w:t xml:space="preserve"> </w:t>
      </w:r>
      <w:r w:rsidR="001D469C" w:rsidRPr="00075EA6">
        <w:rPr>
          <w:i/>
        </w:rPr>
        <w:br/>
      </w:r>
      <w:r w:rsidR="003A5C85" w:rsidRPr="00075EA6">
        <w:rPr>
          <w:szCs w:val="28"/>
          <w:vertAlign w:val="superscript"/>
        </w:rPr>
        <w:t>b)</w:t>
      </w:r>
      <w:r w:rsidR="00DD112B" w:rsidRPr="00DD112B">
        <w:rPr>
          <w:rFonts w:ascii="Arial" w:hAnsi="Arial" w:cs="Arial"/>
          <w:sz w:val="23"/>
          <w:szCs w:val="23"/>
        </w:rPr>
        <w:t xml:space="preserve"> </w:t>
      </w:r>
      <w:r w:rsidR="00DD112B" w:rsidRPr="00DD112B">
        <w:rPr>
          <w:rStyle w:val="Hyperlink"/>
        </w:rPr>
        <w:t>tamrin.mm@unm.ac.id</w:t>
      </w:r>
    </w:p>
    <w:p w14:paraId="5E05E235" w14:textId="186813C0" w:rsidR="003A5C85" w:rsidRPr="00075EA6" w:rsidRDefault="009E220D">
      <w:pPr>
        <w:pStyle w:val="AuthorEmail"/>
      </w:pPr>
      <w:r>
        <w:rPr>
          <w:szCs w:val="28"/>
          <w:vertAlign w:val="superscript"/>
        </w:rPr>
        <w:t>c</w:t>
      </w:r>
      <w:r w:rsidRPr="00075EA6">
        <w:rPr>
          <w:szCs w:val="28"/>
          <w:vertAlign w:val="superscript"/>
        </w:rPr>
        <w:t>)</w:t>
      </w:r>
      <w:hyperlink r:id="rId10" w:history="1">
        <w:r w:rsidR="00DD112B" w:rsidRPr="00413141">
          <w:rPr>
            <w:rStyle w:val="Hyperlink"/>
          </w:rPr>
          <w:t>fajar.arwadi53@unm.ac.id</w:t>
        </w:r>
      </w:hyperlink>
      <w:r w:rsidR="003A5C85" w:rsidRPr="00075EA6">
        <w:br/>
        <w:t xml:space="preserve">(Use the Microsoft Word template style: </w:t>
      </w:r>
      <w:r w:rsidR="003A5C85" w:rsidRPr="00075EA6">
        <w:rPr>
          <w:i/>
          <w:iCs/>
        </w:rPr>
        <w:t xml:space="preserve">Author </w:t>
      </w:r>
      <w:proofErr w:type="gramStart"/>
      <w:r w:rsidR="003A5C85" w:rsidRPr="00075EA6">
        <w:rPr>
          <w:i/>
          <w:iCs/>
        </w:rPr>
        <w:t>Email</w:t>
      </w:r>
      <w:r w:rsidR="003A5C85" w:rsidRPr="00075EA6">
        <w:t>)</w:t>
      </w:r>
      <w:r w:rsidR="00027428">
        <w:t>or</w:t>
      </w:r>
      <w:proofErr w:type="gramEnd"/>
      <w:r w:rsidR="00027428">
        <w:t xml:space="preserve"> </w:t>
      </w:r>
      <w:r w:rsidR="00027428">
        <w:rPr>
          <w:lang w:val="en-GB" w:eastAsia="en-GB"/>
        </w:rPr>
        <w:t>(Use Times New Roman Font</w:t>
      </w:r>
      <w:r w:rsidR="00027428" w:rsidRPr="00C14B14">
        <w:rPr>
          <w:lang w:val="en-GB" w:eastAsia="en-GB"/>
        </w:rPr>
        <w:t xml:space="preserve">: 10 </w:t>
      </w:r>
      <w:proofErr w:type="spellStart"/>
      <w:r w:rsidR="00027428" w:rsidRPr="00C14B14">
        <w:rPr>
          <w:lang w:val="en-GB" w:eastAsia="en-GB"/>
        </w:rPr>
        <w:t>pt</w:t>
      </w:r>
      <w:proofErr w:type="spellEnd"/>
      <w:r w:rsidR="00027428" w:rsidRPr="00C14B14">
        <w:rPr>
          <w:lang w:val="en-GB" w:eastAsia="en-GB"/>
        </w:rPr>
        <w:t xml:space="preserve">, Italic, </w:t>
      </w:r>
      <w:proofErr w:type="spellStart"/>
      <w:r w:rsidR="00027428" w:rsidRPr="00C14B14">
        <w:rPr>
          <w:lang w:val="en-GB" w:eastAsia="en-GB"/>
        </w:rPr>
        <w:t>Centered</w:t>
      </w:r>
      <w:proofErr w:type="spellEnd"/>
      <w:r w:rsidR="00027428">
        <w:rPr>
          <w:lang w:val="en-GB" w:eastAsia="en-GB"/>
        </w:rPr>
        <w:t>)</w:t>
      </w:r>
    </w:p>
    <w:p w14:paraId="22C3F2A8" w14:textId="61545110" w:rsidR="0016385D" w:rsidRPr="00075EA6" w:rsidRDefault="0016385D" w:rsidP="00C14B14">
      <w:pPr>
        <w:pStyle w:val="Abstract"/>
      </w:pPr>
      <w:r w:rsidRPr="00075EA6">
        <w:rPr>
          <w:b/>
          <w:bCs/>
        </w:rPr>
        <w:t>Abstract.</w:t>
      </w:r>
      <w:r w:rsidRPr="00075EA6">
        <w:t xml:space="preserve"> </w:t>
      </w:r>
      <w:r w:rsidR="004E5CCE" w:rsidRPr="004E5CCE">
        <w:t xml:space="preserve">This study aims to determine the effectiveness of the learning packages integrated computational thinking skills on elementary students’ ability in thinking computationally and solving mathematics Computational Problems. This research is pre-experimental research with the design of one group pre-test and post-test. </w:t>
      </w:r>
      <w:r w:rsidR="007268A9" w:rsidRPr="007268A9">
        <w:t>92</w:t>
      </w:r>
      <w:r w:rsidR="004E5CCE" w:rsidRPr="000D1B87">
        <w:rPr>
          <w:color w:val="FF0000"/>
        </w:rPr>
        <w:t xml:space="preserve"> </w:t>
      </w:r>
      <w:r w:rsidR="004E5CCE" w:rsidRPr="004E5CCE">
        <w:t>Elementary School Students actively participated in this research. The research gathered data in the form of the test result of the students both in the pre-test and post-test. The data was collected by using test, observation, and interview techniques. The study suggests that the application of the model is able to improve students' abilities in solving Mathematics Computational Problems. The Effectiveness of the model study method is seen from the results of the pretest and posttest by using the Paired test Samples T-Test with the help of SPSS 24.0 for windows. The analysis results obtain the value of Sig. (2-tailed) is equal to 0.000 or less than 0.05, so it can be suggested that there is a significant difference between the learning outcomes in pre-test and post-test implying that students’ abilities in thinking computationally and solving mathematics computational problem significantly increase</w:t>
      </w:r>
      <w:r w:rsidR="00B10134" w:rsidRPr="00075EA6">
        <w:t>.</w:t>
      </w:r>
    </w:p>
    <w:p w14:paraId="5240E3FB" w14:textId="6AAA9677" w:rsidR="003A287B" w:rsidRPr="00075EA6" w:rsidRDefault="004E5CCE" w:rsidP="00003D7C">
      <w:pPr>
        <w:pStyle w:val="Heading1"/>
        <w:rPr>
          <w:b w:val="0"/>
          <w:caps w:val="0"/>
          <w:sz w:val="20"/>
        </w:rPr>
      </w:pPr>
      <w:r>
        <w:t>Introduction</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6BB2E813" w14:textId="4E0D7793" w:rsidR="004E5CCE" w:rsidRDefault="004E5CCE" w:rsidP="0032611D">
      <w:pPr>
        <w:pStyle w:val="Paragraph"/>
      </w:pPr>
      <w:r>
        <w:t xml:space="preserve">Computational thinking is important basic skills possessed by students, which is as important as the other basic abilities are the same as reading, writing and arithmetic skills </w:t>
      </w:r>
      <w:r w:rsidR="0032611D">
        <w:t>[1]</w:t>
      </w:r>
      <w:r>
        <w:t xml:space="preserve">. Learning with computational thinking skills will allow students to think abstractly, algorithmically and logically, and ready to solve problems. Computational thinking (CT) is a way to find a solution of a problem with certain algorithms or procedures </w:t>
      </w:r>
      <w:r w:rsidR="00BB48C7">
        <w:t>[2]</w:t>
      </w:r>
      <w:r>
        <w:t xml:space="preserve">. Computational </w:t>
      </w:r>
      <w:r>
        <w:lastRenderedPageBreak/>
        <w:t>thinking is a skill in identifying patterns then solve complex problems into a series of steps to provide solutions and build representation of the known problem data. This thinking technique allows students to change complex problems into a series of steps that are easier to solve provide an efficient way to think creatively.</w:t>
      </w:r>
      <w:r w:rsidR="007358BD">
        <w:t xml:space="preserve"> Specifically, computational thinking skills covers </w:t>
      </w:r>
      <w:r w:rsidR="00E627B9">
        <w:t>(</w:t>
      </w:r>
      <w:proofErr w:type="spellStart"/>
      <w:r w:rsidR="00E627B9">
        <w:t>i</w:t>
      </w:r>
      <w:proofErr w:type="spellEnd"/>
      <w:r w:rsidR="00E627B9">
        <w:t xml:space="preserve">) </w:t>
      </w:r>
      <w:r w:rsidR="007358BD">
        <w:t>Decomposition</w:t>
      </w:r>
      <w:r w:rsidR="00E627B9">
        <w:t>: b</w:t>
      </w:r>
      <w:r w:rsidR="007358BD">
        <w:t>reaking problems into parts</w:t>
      </w:r>
      <w:r w:rsidR="0032611D">
        <w:t xml:space="preserve">, </w:t>
      </w:r>
      <w:r w:rsidR="00E627B9">
        <w:t xml:space="preserve">(ii) </w:t>
      </w:r>
      <w:r w:rsidR="007358BD">
        <w:t>Pattern recognition</w:t>
      </w:r>
      <w:r w:rsidR="00E627B9">
        <w:t xml:space="preserve">: </w:t>
      </w:r>
      <w:r w:rsidR="007358BD">
        <w:t>Analyzing the data, look for patterns to make sense of the data</w:t>
      </w:r>
      <w:r w:rsidR="00E627B9">
        <w:t xml:space="preserve">, (iii) </w:t>
      </w:r>
      <w:r w:rsidR="007358BD">
        <w:t>Abstraction</w:t>
      </w:r>
      <w:r w:rsidR="00E627B9">
        <w:t xml:space="preserve">: </w:t>
      </w:r>
      <w:r w:rsidR="007358BD">
        <w:t>Removing unnecessary details and focusing on the critical data</w:t>
      </w:r>
      <w:r w:rsidR="00E627B9">
        <w:t>, (i</w:t>
      </w:r>
      <w:r w:rsidR="00D6765F">
        <w:t>v)</w:t>
      </w:r>
      <w:r w:rsidR="00D6765F" w:rsidRPr="00D6765F">
        <w:t xml:space="preserve"> </w:t>
      </w:r>
      <w:r w:rsidR="00D6765F">
        <w:t xml:space="preserve">Modelling-simulation: Creating models or simulations to represent processes, (v) Algorithms: Creating a series of ordered steps taken to solve a problem, and (vi) Evaluation: Determining the effectiveness of a solution, generalizing, and applying it to new problems </w:t>
      </w:r>
      <w:r>
        <w:t xml:space="preserve"> Therefore, computational thinking can train the brain to think logically and creatively. It is supported by </w:t>
      </w:r>
      <w:r w:rsidR="0032611D">
        <w:t>[</w:t>
      </w:r>
      <w:r w:rsidR="00BB48C7">
        <w:t>3</w:t>
      </w:r>
      <w:r w:rsidR="0032611D">
        <w:t>]</w:t>
      </w:r>
      <w:r>
        <w:t xml:space="preserve"> who argue that computational thinking is important to teach to students and useful for the future.  </w:t>
      </w:r>
    </w:p>
    <w:p w14:paraId="497E036F" w14:textId="7B8014AE" w:rsidR="004E5CCE" w:rsidRDefault="004E5CCE" w:rsidP="004E5CCE">
      <w:pPr>
        <w:pStyle w:val="Paragraph"/>
      </w:pPr>
      <w:r>
        <w:t xml:space="preserve">Some researchers argue that thinking mathematics plays an important role in computational thinking and vice versa computational thinking have an important role in mathematical thinking </w:t>
      </w:r>
      <w:r w:rsidR="0032611D">
        <w:t>[</w:t>
      </w:r>
      <w:r w:rsidR="00BB48C7">
        <w:t>4</w:t>
      </w:r>
      <w:r w:rsidR="0032611D">
        <w:t>]</w:t>
      </w:r>
      <w:r>
        <w:t xml:space="preserve">. The idea to integrate computational thinking in mathematics education has been long discussed. One of the driving factors the integration of Computational Thinking into the mathematics curriculum is a response to scientific disciplines increasingly computerized due to practice massive in the professional world </w:t>
      </w:r>
      <w:r w:rsidR="0032611D">
        <w:t>[</w:t>
      </w:r>
      <w:r w:rsidR="00BB48C7">
        <w:t>5</w:t>
      </w:r>
      <w:r w:rsidR="0032611D">
        <w:t>]</w:t>
      </w:r>
      <w:r>
        <w:t xml:space="preserve">. </w:t>
      </w:r>
    </w:p>
    <w:p w14:paraId="1E7702EE" w14:textId="3BDD3B08" w:rsidR="00B1000D" w:rsidRDefault="004E5CCE" w:rsidP="004E5CCE">
      <w:pPr>
        <w:pStyle w:val="Paragraph"/>
      </w:pPr>
      <w:r>
        <w:t xml:space="preserve">However, recently, there has not yet been a learning model particularly aimed to apply in classroom to increase the computational thinking skills of students. The model theoretically indeed includes some learning packages such as text lesson plan, books, student worksheet, and learning outcome test. Therefore, for gradual activity, this research tries to design the learning packages integrated Computational Thinking Skills. </w:t>
      </w:r>
      <w:r w:rsidR="007162E0">
        <w:t xml:space="preserve">The learning packages consist of book, lesson plan, student worksheet, and mathematics computational thinking test. They have been validated theoretically in previous </w:t>
      </w:r>
      <w:r w:rsidR="007162E0" w:rsidRPr="00BB48C7">
        <w:t>research [</w:t>
      </w:r>
      <w:r w:rsidR="00BB48C7" w:rsidRPr="00BB48C7">
        <w:t>6</w:t>
      </w:r>
      <w:r w:rsidR="007162E0" w:rsidRPr="00BB48C7">
        <w:t>] that they include and elicit computational thinking skills</w:t>
      </w:r>
      <w:r w:rsidR="00151CD2" w:rsidRPr="00BB48C7">
        <w:t xml:space="preserve"> as they describe what computational thinking are, the </w:t>
      </w:r>
      <w:r w:rsidR="00151CD2">
        <w:t>components of the computational thinking skills, and the application of the skills in solving mathematics problems</w:t>
      </w:r>
      <w:r w:rsidR="007162E0">
        <w:t xml:space="preserve">. </w:t>
      </w:r>
      <w:r>
        <w:t xml:space="preserve">The present research would specifically to measure the abilities of students in </w:t>
      </w:r>
      <w:r w:rsidR="00151CD2">
        <w:t xml:space="preserve">having knowledge and </w:t>
      </w:r>
      <w:r>
        <w:t>solving mathematics computational problems as the computational thinking skills</w:t>
      </w:r>
      <w:r w:rsidR="00151CD2">
        <w:t xml:space="preserve">. </w:t>
      </w:r>
    </w:p>
    <w:p w14:paraId="7A5E9364" w14:textId="0C0339AA" w:rsidR="00616F3B" w:rsidRPr="00075EA6" w:rsidRDefault="00616F3B" w:rsidP="00D6765F">
      <w:pPr>
        <w:pStyle w:val="Paragraph"/>
        <w:ind w:firstLine="0"/>
      </w:pPr>
    </w:p>
    <w:p w14:paraId="19496C26" w14:textId="67E3C844" w:rsidR="00BA3B3D" w:rsidRPr="00075EA6" w:rsidRDefault="007162E0" w:rsidP="00A646B3">
      <w:pPr>
        <w:pStyle w:val="Heading1"/>
        <w:rPr>
          <w:b w:val="0"/>
          <w:caps w:val="0"/>
          <w:sz w:val="20"/>
        </w:rPr>
      </w:pPr>
      <w:r>
        <w:t>METHOD</w:t>
      </w:r>
      <w:r w:rsidR="00BA3B3D" w:rsidRPr="00075EA6">
        <w:br/>
      </w:r>
      <w:r w:rsidR="00BA3B3D" w:rsidRPr="00075EA6">
        <w:rPr>
          <w:b w:val="0"/>
          <w:caps w:val="0"/>
          <w:sz w:val="20"/>
        </w:rPr>
        <w:t xml:space="preserve">(Use the Microsoft Word template style: </w:t>
      </w:r>
      <w:r w:rsidR="00BA3B3D" w:rsidRPr="00075EA6">
        <w:rPr>
          <w:b w:val="0"/>
          <w:i/>
          <w:iCs/>
          <w:caps w:val="0"/>
          <w:sz w:val="20"/>
        </w:rPr>
        <w:t>Heading 1</w:t>
      </w:r>
      <w:r w:rsidR="00BA3B3D"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024B939F" w14:textId="7E0F9810" w:rsidR="00BB49AD" w:rsidRDefault="00D01ED9" w:rsidP="00BB49AD">
      <w:pPr>
        <w:pStyle w:val="Paragraph"/>
      </w:pPr>
      <w:r w:rsidRPr="00D01ED9">
        <w:t xml:space="preserve">This study applied pre-experimental research using a one group pretest post-test design. There were three classes that were set as an experimental class of which the learning packages was applied. Before applying the learning packages, the students were given pretest to see their initial abilities. After carrying out the learning, students were given post-test to find out the influence of the learning packages. The effectiveness of the packages would be seen from the difference in the average score of the pre-test and that of post-test. The population in this study were all students in SD </w:t>
      </w:r>
      <w:proofErr w:type="spellStart"/>
      <w:r w:rsidRPr="00D01ED9">
        <w:t>Inpres</w:t>
      </w:r>
      <w:proofErr w:type="spellEnd"/>
      <w:r w:rsidRPr="00D01ED9">
        <w:t xml:space="preserve"> </w:t>
      </w:r>
      <w:proofErr w:type="spellStart"/>
      <w:r w:rsidRPr="00D01ED9">
        <w:t>Malengkeri</w:t>
      </w:r>
      <w:proofErr w:type="spellEnd"/>
      <w:r w:rsidRPr="00D01ED9">
        <w:t xml:space="preserve"> 1</w:t>
      </w:r>
      <w:r w:rsidR="008E5B11">
        <w:t>, Makassar</w:t>
      </w:r>
      <w:r w:rsidRPr="00D01ED9">
        <w:t xml:space="preserve">. The sample are three classes consisting of </w:t>
      </w:r>
      <w:r w:rsidR="007268A9" w:rsidRPr="007268A9">
        <w:t>92</w:t>
      </w:r>
      <w:r w:rsidRPr="007268A9">
        <w:t xml:space="preserve"> </w:t>
      </w:r>
      <w:r w:rsidRPr="00D01ED9">
        <w:t xml:space="preserve">students which was taken using a random sampling technique with the assumption, they all never learn specifically how to think computationally. </w:t>
      </w:r>
      <w:r w:rsidR="007162E0">
        <w:t xml:space="preserve">To determine the effectiveness of the learning packages, several indicators should be satisfied. </w:t>
      </w:r>
      <w:r w:rsidRPr="00D01ED9">
        <w:t>The data collected in this study are the test results of the students both in the pre-test and the post-test which were analyzed using SPSS through Paired samples T-test.</w:t>
      </w:r>
      <w:r w:rsidR="000D1B87">
        <w:t xml:space="preserve"> </w:t>
      </w:r>
      <w:r w:rsidR="00BB49AD">
        <w:t>The average score of students in the post-test is expected greater than 74.9 by referring the minimum completeness criteria of 75. For statistical testing purposes, a hypothesis is formulated as follows:</w:t>
      </w:r>
    </w:p>
    <w:p w14:paraId="2A676433" w14:textId="6D613FE9" w:rsidR="00F20F73" w:rsidRDefault="00BB49AD" w:rsidP="00BF3A77">
      <w:pPr>
        <w:pStyle w:val="Paragraph"/>
        <w:jc w:val="center"/>
      </w:pPr>
      <w:r>
        <w:t>H</w:t>
      </w:r>
      <w:proofErr w:type="gramStart"/>
      <w:r w:rsidRPr="00BB49AD">
        <w:rPr>
          <w:vertAlign w:val="subscript"/>
        </w:rPr>
        <w:t>0</w:t>
      </w:r>
      <w:r>
        <w:t xml:space="preserve"> :</w:t>
      </w:r>
      <w:proofErr w:type="gramEnd"/>
      <w:r>
        <w:t xml:space="preserve"> </w:t>
      </w:r>
      <m:oMath>
        <m:r>
          <w:rPr>
            <w:rFonts w:ascii="Cambria Math" w:hAnsi="Cambria Math"/>
          </w:rPr>
          <m:t>μ≤</m:t>
        </m:r>
      </m:oMath>
      <w:r>
        <w:t>74.9 against H</w:t>
      </w:r>
      <w:r w:rsidRPr="00BB49AD">
        <w:rPr>
          <w:vertAlign w:val="subscript"/>
        </w:rPr>
        <w:t>1</w:t>
      </w:r>
      <w:r>
        <w:t xml:space="preserve"> : </w:t>
      </w:r>
      <m:oMath>
        <m:r>
          <w:rPr>
            <w:rFonts w:ascii="Cambria Math" w:hAnsi="Cambria Math"/>
          </w:rPr>
          <m:t>μ</m:t>
        </m:r>
      </m:oMath>
      <w:r>
        <w:t xml:space="preserve"> &gt; 74.9, </w:t>
      </w:r>
      <w:r w:rsidR="00C95E9B">
        <w:t xml:space="preserve">where </w:t>
      </w:r>
      <m:oMath>
        <m:r>
          <w:rPr>
            <w:rFonts w:ascii="Cambria Math" w:hAnsi="Cambria Math"/>
          </w:rPr>
          <m:t>μ</m:t>
        </m:r>
      </m:oMath>
      <w:r w:rsidR="00C95E9B">
        <w:t xml:space="preserve"> is the average score of  the students</w:t>
      </w:r>
    </w:p>
    <w:p w14:paraId="286AFD86" w14:textId="151383C4" w:rsidR="00BB49AD" w:rsidRDefault="00C95E9B" w:rsidP="00C95E9B">
      <w:pPr>
        <w:pStyle w:val="Paragraph"/>
        <w:jc w:val="left"/>
      </w:pPr>
      <w:r w:rsidRPr="00C95E9B">
        <w:t xml:space="preserve">The classical completeness of the students after being taught using the learning package </w:t>
      </w:r>
      <w:r w:rsidR="00CE1ADB">
        <w:t xml:space="preserve">is expected more than 79,9% </w:t>
      </w:r>
      <w:r w:rsidR="00723C1A" w:rsidRPr="00723C1A">
        <w:rPr>
          <w:color w:val="FF0000"/>
        </w:rPr>
        <w:t>(</w:t>
      </w:r>
      <w:proofErr w:type="spellStart"/>
      <w:r w:rsidR="00723C1A" w:rsidRPr="00723C1A">
        <w:rPr>
          <w:color w:val="FF0000"/>
        </w:rPr>
        <w:t>Prabandari</w:t>
      </w:r>
      <w:proofErr w:type="spellEnd"/>
      <w:r w:rsidR="00723C1A" w:rsidRPr="00723C1A">
        <w:rPr>
          <w:color w:val="FF0000"/>
        </w:rPr>
        <w:t>, 2017</w:t>
      </w:r>
      <w:r w:rsidR="00723C1A">
        <w:t xml:space="preserve">) </w:t>
      </w:r>
      <w:r w:rsidR="00CE1ADB">
        <w:t xml:space="preserve">and </w:t>
      </w:r>
      <w:r w:rsidRPr="00C95E9B">
        <w:t>calculated using the proportional test formulated with the following hypothesis:</w:t>
      </w:r>
    </w:p>
    <w:p w14:paraId="45F831F6" w14:textId="14E40C49" w:rsidR="00C95E9B" w:rsidRDefault="00C95E9B" w:rsidP="00802D97">
      <w:pPr>
        <w:pStyle w:val="Paragraph"/>
        <w:jc w:val="center"/>
      </w:pPr>
      <w:bookmarkStart w:id="0" w:name="_Hlk117276144"/>
      <w:r>
        <w:t>H</w:t>
      </w:r>
      <w:proofErr w:type="gramStart"/>
      <w:r w:rsidRPr="00BB49AD">
        <w:rPr>
          <w:vertAlign w:val="subscript"/>
        </w:rPr>
        <w:t>0</w:t>
      </w:r>
      <w:r>
        <w:t xml:space="preserve"> :</w:t>
      </w:r>
      <w:proofErr w:type="gramEnd"/>
      <w:r>
        <w:t xml:space="preserve"> </w:t>
      </w:r>
      <m:oMath>
        <m:r>
          <w:rPr>
            <w:rFonts w:ascii="Cambria Math" w:hAnsi="Cambria Math"/>
          </w:rPr>
          <m:t>π≤</m:t>
        </m:r>
      </m:oMath>
      <w:r>
        <w:t>7</w:t>
      </w:r>
      <w:r w:rsidR="00802D97">
        <w:t>9</w:t>
      </w:r>
      <w:r>
        <w:t>.9</w:t>
      </w:r>
      <w:r w:rsidR="00802D97">
        <w:t>%</w:t>
      </w:r>
      <w:r>
        <w:t xml:space="preserve"> against H</w:t>
      </w:r>
      <w:r w:rsidRPr="00BB49AD">
        <w:rPr>
          <w:vertAlign w:val="subscript"/>
        </w:rPr>
        <w:t>1</w:t>
      </w:r>
      <w:r>
        <w:t xml:space="preserve"> : </w:t>
      </w:r>
      <m:oMath>
        <m:r>
          <w:rPr>
            <w:rFonts w:ascii="Cambria Math" w:hAnsi="Cambria Math"/>
          </w:rPr>
          <m:t>π</m:t>
        </m:r>
      </m:oMath>
      <w:r>
        <w:t xml:space="preserve"> &gt; 7</w:t>
      </w:r>
      <w:r w:rsidR="00802D97">
        <w:t xml:space="preserve">9,9% where </w:t>
      </w:r>
      <m:oMath>
        <m:r>
          <w:rPr>
            <w:rFonts w:ascii="Cambria Math" w:hAnsi="Cambria Math"/>
          </w:rPr>
          <m:t xml:space="preserve">π </m:t>
        </m:r>
      </m:oMath>
      <w:r w:rsidR="00802D97">
        <w:t>is the parameter of the classical learning completeness</w:t>
      </w:r>
    </w:p>
    <w:p w14:paraId="065AFDA3" w14:textId="15B2E986" w:rsidR="00BF3A77" w:rsidRDefault="00BF3A77" w:rsidP="00BF3A77">
      <w:pPr>
        <w:pStyle w:val="Paragraph"/>
        <w:jc w:val="left"/>
      </w:pPr>
      <w:r>
        <w:t>Moreover, the average of normalized gain (increase) of the students' score after utilizing the learning packages is greater than 0.29. For the purposes of statistical testing, the working hypothesis is formulated as follows:</w:t>
      </w:r>
    </w:p>
    <w:p w14:paraId="34C9F9C8" w14:textId="77777777" w:rsidR="00F20F73" w:rsidRDefault="00BF3A77" w:rsidP="00BF3A77">
      <w:pPr>
        <w:pStyle w:val="Paragraph"/>
        <w:jc w:val="center"/>
      </w:pPr>
      <w:r>
        <w:t>H</w:t>
      </w:r>
      <w:proofErr w:type="gramStart"/>
      <w:r w:rsidRPr="00BF3A77">
        <w:rPr>
          <w:vertAlign w:val="subscript"/>
        </w:rPr>
        <w:t>0</w:t>
      </w:r>
      <w:r>
        <w:t xml:space="preserve"> :</w:t>
      </w:r>
      <w:proofErr w:type="gramEnd"/>
      <w:r>
        <w:t xml:space="preserve"> g </w:t>
      </w:r>
      <m:oMath>
        <m:r>
          <w:rPr>
            <w:rFonts w:ascii="Cambria Math" w:hAnsi="Cambria Math"/>
          </w:rPr>
          <m:t>≤</m:t>
        </m:r>
      </m:oMath>
      <w:r>
        <w:t>0.29 against H</w:t>
      </w:r>
      <w:r w:rsidRPr="00BF3A77">
        <w:rPr>
          <w:vertAlign w:val="subscript"/>
        </w:rPr>
        <w:t>1</w:t>
      </w:r>
      <w:r>
        <w:t xml:space="preserve"> : g &gt; 0.29</w:t>
      </w:r>
    </w:p>
    <w:p w14:paraId="51FD0E23" w14:textId="4E252363" w:rsidR="00BF3A77" w:rsidRDefault="00BF3A77" w:rsidP="00F20F73">
      <w:pPr>
        <w:pStyle w:val="Paragraph"/>
        <w:ind w:firstLine="0"/>
        <w:jc w:val="left"/>
      </w:pPr>
      <w:r>
        <w:t>where g = normalized gain average score parameter</w:t>
      </w:r>
      <w:r w:rsidR="00F20F73">
        <w:t>.</w:t>
      </w:r>
      <w:r w:rsidR="00286A5E">
        <w:t xml:space="preserve"> The value of g is given by:</w:t>
      </w:r>
    </w:p>
    <w:p w14:paraId="01CB62B0" w14:textId="236688B6" w:rsidR="00286A5E" w:rsidRPr="00286A5E" w:rsidRDefault="00286A5E" w:rsidP="00F20F73">
      <w:pPr>
        <w:pStyle w:val="Paragraph"/>
        <w:ind w:firstLine="0"/>
        <w:jc w:val="left"/>
      </w:pPr>
      <m:oMathPara>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pos</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pre</m:t>
                  </m:r>
                </m:sub>
              </m:sSub>
            </m:num>
            <m:den>
              <m:sSub>
                <m:sSubPr>
                  <m:ctrlPr>
                    <w:rPr>
                      <w:rFonts w:ascii="Cambria Math" w:hAnsi="Cambria Math"/>
                      <w:i/>
                    </w:rPr>
                  </m:ctrlPr>
                </m:sSubPr>
                <m:e>
                  <m:r>
                    <w:rPr>
                      <w:rFonts w:ascii="Cambria Math" w:hAnsi="Cambria Math"/>
                    </w:rPr>
                    <m:t>S</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pre</m:t>
                  </m:r>
                </m:sub>
              </m:sSub>
            </m:den>
          </m:f>
        </m:oMath>
      </m:oMathPara>
    </w:p>
    <w:p w14:paraId="2F9784D0" w14:textId="7E2D688E" w:rsidR="00286A5E" w:rsidRDefault="00286A5E" w:rsidP="00F20F73">
      <w:pPr>
        <w:pStyle w:val="Paragraph"/>
        <w:ind w:firstLine="0"/>
        <w:jc w:val="left"/>
      </w:pPr>
      <w:r>
        <w:t xml:space="preserve">Where </w:t>
      </w:r>
      <m:oMath>
        <m:sSub>
          <m:sSubPr>
            <m:ctrlPr>
              <w:rPr>
                <w:rFonts w:ascii="Cambria Math" w:hAnsi="Cambria Math"/>
                <w:i/>
              </w:rPr>
            </m:ctrlPr>
          </m:sSubPr>
          <m:e>
            <m:r>
              <w:rPr>
                <w:rFonts w:ascii="Cambria Math" w:hAnsi="Cambria Math"/>
              </w:rPr>
              <m:t>S</m:t>
            </m:r>
          </m:e>
          <m:sub>
            <m:r>
              <w:rPr>
                <w:rFonts w:ascii="Cambria Math" w:hAnsi="Cambria Math"/>
              </w:rPr>
              <m:t>pos</m:t>
            </m:r>
          </m:sub>
        </m:sSub>
      </m:oMath>
      <w:r>
        <w:t xml:space="preserve"> is the post-test score, </w:t>
      </w:r>
      <m:oMath>
        <m:sSub>
          <m:sSubPr>
            <m:ctrlPr>
              <w:rPr>
                <w:rFonts w:ascii="Cambria Math" w:hAnsi="Cambria Math"/>
                <w:i/>
              </w:rPr>
            </m:ctrlPr>
          </m:sSubPr>
          <m:e>
            <m:r>
              <w:rPr>
                <w:rFonts w:ascii="Cambria Math" w:hAnsi="Cambria Math"/>
              </w:rPr>
              <m:t>S</m:t>
            </m:r>
          </m:e>
          <m:sub>
            <m:r>
              <w:rPr>
                <w:rFonts w:ascii="Cambria Math" w:hAnsi="Cambria Math"/>
              </w:rPr>
              <m:t>pre</m:t>
            </m:r>
          </m:sub>
        </m:sSub>
      </m:oMath>
      <w:r>
        <w:t xml:space="preserve"> is the pre-test score, and </w:t>
      </w:r>
      <m:oMath>
        <m:sSub>
          <m:sSubPr>
            <m:ctrlPr>
              <w:rPr>
                <w:rFonts w:ascii="Cambria Math" w:hAnsi="Cambria Math"/>
                <w:i/>
              </w:rPr>
            </m:ctrlPr>
          </m:sSubPr>
          <m:e>
            <m:r>
              <w:rPr>
                <w:rFonts w:ascii="Cambria Math" w:hAnsi="Cambria Math"/>
              </w:rPr>
              <m:t>S</m:t>
            </m:r>
          </m:e>
          <m:sub>
            <m:r>
              <w:rPr>
                <w:rFonts w:ascii="Cambria Math" w:hAnsi="Cambria Math"/>
              </w:rPr>
              <m:t>max</m:t>
            </m:r>
          </m:sub>
        </m:sSub>
      </m:oMath>
      <w:r>
        <w:t xml:space="preserve"> is the maximum score.</w:t>
      </w:r>
      <w:bookmarkEnd w:id="0"/>
    </w:p>
    <w:p w14:paraId="50314DA8" w14:textId="77777777" w:rsidR="00D01ED9" w:rsidRPr="00D01ED9" w:rsidRDefault="00D01ED9" w:rsidP="008E5B11">
      <w:pPr>
        <w:pStyle w:val="Paragraph"/>
        <w:ind w:firstLine="0"/>
      </w:pPr>
    </w:p>
    <w:p w14:paraId="530E6BD2" w14:textId="680FA9C5" w:rsidR="00BA3B3D" w:rsidRPr="00075EA6" w:rsidRDefault="008E5B11" w:rsidP="00A646B3">
      <w:pPr>
        <w:pStyle w:val="Heading2"/>
      </w:pPr>
      <w:r>
        <w:lastRenderedPageBreak/>
        <w:t>FINDINGS</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1593B65A" w:rsidR="00BA3B3D" w:rsidRDefault="008E5B11" w:rsidP="00BA3B3D">
      <w:pPr>
        <w:pStyle w:val="Paragraph"/>
      </w:pPr>
      <w:r w:rsidRPr="008E5B11">
        <w:t xml:space="preserve">The first activity is giving the students a pre-test in the topic of extraordinary crimes. The test consists of a set of question measuring the indicators of the computational thinking based on (2005). Then, the learning packages are used in the learning by teachers for several meetings in the class. After that, the post-test is given to the students. The results of the pre-test and the post-test are shown in the Table </w:t>
      </w:r>
      <w:r w:rsidR="000F15FF">
        <w:t>1</w:t>
      </w:r>
      <w:r w:rsidRPr="008E5B11">
        <w:t>.</w:t>
      </w:r>
    </w:p>
    <w:p w14:paraId="5EC75BE2" w14:textId="211CC7FE" w:rsidR="009536AD" w:rsidRDefault="009536AD" w:rsidP="00BA3B3D">
      <w:pPr>
        <w:pStyle w:val="Paragraph"/>
      </w:pPr>
    </w:p>
    <w:p w14:paraId="68311B69" w14:textId="62FD7F80" w:rsidR="009536AD" w:rsidRDefault="009536AD" w:rsidP="009536AD">
      <w:pPr>
        <w:pStyle w:val="Paragraph"/>
        <w:jc w:val="center"/>
      </w:pPr>
      <w:r>
        <w:t>Table 1. Descriptive Statistics of the Pre-Test and the Post-Test</w:t>
      </w:r>
    </w:p>
    <w:tbl>
      <w:tblPr>
        <w:tblStyle w:val="TableGrid"/>
        <w:tblW w:w="0" w:type="auto"/>
        <w:tblLook w:val="04A0" w:firstRow="1" w:lastRow="0" w:firstColumn="1" w:lastColumn="0" w:noHBand="0" w:noVBand="1"/>
      </w:tblPr>
      <w:tblGrid>
        <w:gridCol w:w="2122"/>
        <w:gridCol w:w="882"/>
        <w:gridCol w:w="1503"/>
        <w:gridCol w:w="1503"/>
        <w:gridCol w:w="1503"/>
        <w:gridCol w:w="1503"/>
      </w:tblGrid>
      <w:tr w:rsidR="000F15FF" w14:paraId="15F30506" w14:textId="77777777" w:rsidTr="00FE6B0C">
        <w:trPr>
          <w:trHeight w:val="97"/>
        </w:trPr>
        <w:tc>
          <w:tcPr>
            <w:tcW w:w="9016" w:type="dxa"/>
            <w:gridSpan w:val="6"/>
            <w:tcBorders>
              <w:top w:val="single" w:sz="4" w:space="0" w:color="auto"/>
              <w:left w:val="nil"/>
              <w:bottom w:val="single" w:sz="4" w:space="0" w:color="auto"/>
              <w:right w:val="nil"/>
            </w:tcBorders>
          </w:tcPr>
          <w:p w14:paraId="69A5BA90" w14:textId="77777777" w:rsidR="000F15FF" w:rsidRDefault="000F15FF" w:rsidP="00DD2D44">
            <w:pPr>
              <w:jc w:val="center"/>
              <w:rPr>
                <w:rStyle w:val="q4iawc"/>
                <w:lang w:val="en"/>
              </w:rPr>
            </w:pPr>
            <w:r w:rsidRPr="000F15FF">
              <w:rPr>
                <w:b/>
                <w:sz w:val="18"/>
                <w:szCs w:val="18"/>
              </w:rPr>
              <w:t>Descriptive Statistics</w:t>
            </w:r>
          </w:p>
        </w:tc>
      </w:tr>
      <w:tr w:rsidR="000F15FF" w14:paraId="0566219C" w14:textId="77777777" w:rsidTr="00FE6B0C">
        <w:tc>
          <w:tcPr>
            <w:tcW w:w="2122" w:type="dxa"/>
            <w:tcBorders>
              <w:top w:val="single" w:sz="4" w:space="0" w:color="auto"/>
              <w:left w:val="nil"/>
              <w:bottom w:val="single" w:sz="4" w:space="0" w:color="auto"/>
              <w:right w:val="nil"/>
            </w:tcBorders>
          </w:tcPr>
          <w:p w14:paraId="2714816F" w14:textId="77777777" w:rsidR="000F15FF" w:rsidRDefault="000F15FF" w:rsidP="00DD2D44">
            <w:pPr>
              <w:jc w:val="center"/>
              <w:rPr>
                <w:rStyle w:val="q4iawc"/>
                <w:lang w:val="en"/>
              </w:rPr>
            </w:pPr>
          </w:p>
        </w:tc>
        <w:tc>
          <w:tcPr>
            <w:tcW w:w="882" w:type="dxa"/>
            <w:tcBorders>
              <w:top w:val="single" w:sz="4" w:space="0" w:color="auto"/>
              <w:left w:val="nil"/>
              <w:bottom w:val="single" w:sz="4" w:space="0" w:color="auto"/>
              <w:right w:val="nil"/>
            </w:tcBorders>
          </w:tcPr>
          <w:p w14:paraId="58B65963" w14:textId="77777777" w:rsidR="000F15FF" w:rsidRPr="000F15FF" w:rsidRDefault="000F15FF" w:rsidP="00DD2D44">
            <w:pPr>
              <w:jc w:val="center"/>
              <w:rPr>
                <w:b/>
                <w:sz w:val="18"/>
                <w:szCs w:val="18"/>
              </w:rPr>
            </w:pPr>
            <w:r w:rsidRPr="000F15FF">
              <w:rPr>
                <w:b/>
                <w:sz w:val="18"/>
                <w:szCs w:val="18"/>
              </w:rPr>
              <w:t>N</w:t>
            </w:r>
          </w:p>
        </w:tc>
        <w:tc>
          <w:tcPr>
            <w:tcW w:w="1503" w:type="dxa"/>
            <w:tcBorders>
              <w:top w:val="single" w:sz="4" w:space="0" w:color="auto"/>
              <w:left w:val="nil"/>
              <w:bottom w:val="single" w:sz="4" w:space="0" w:color="auto"/>
              <w:right w:val="nil"/>
            </w:tcBorders>
          </w:tcPr>
          <w:p w14:paraId="6690118A" w14:textId="77777777" w:rsidR="000F15FF" w:rsidRPr="000F15FF" w:rsidRDefault="000F15FF" w:rsidP="00DD2D44">
            <w:pPr>
              <w:jc w:val="center"/>
              <w:rPr>
                <w:b/>
                <w:sz w:val="18"/>
                <w:szCs w:val="18"/>
              </w:rPr>
            </w:pPr>
            <w:r w:rsidRPr="000F15FF">
              <w:rPr>
                <w:b/>
                <w:sz w:val="18"/>
                <w:szCs w:val="18"/>
              </w:rPr>
              <w:t>Minimum</w:t>
            </w:r>
          </w:p>
        </w:tc>
        <w:tc>
          <w:tcPr>
            <w:tcW w:w="1503" w:type="dxa"/>
            <w:tcBorders>
              <w:top w:val="single" w:sz="4" w:space="0" w:color="auto"/>
              <w:left w:val="nil"/>
              <w:bottom w:val="single" w:sz="4" w:space="0" w:color="auto"/>
              <w:right w:val="nil"/>
            </w:tcBorders>
          </w:tcPr>
          <w:p w14:paraId="3FFDCE86" w14:textId="77777777" w:rsidR="000F15FF" w:rsidRPr="000F15FF" w:rsidRDefault="000F15FF" w:rsidP="00DD2D44">
            <w:pPr>
              <w:jc w:val="center"/>
              <w:rPr>
                <w:b/>
                <w:sz w:val="18"/>
                <w:szCs w:val="18"/>
              </w:rPr>
            </w:pPr>
            <w:r w:rsidRPr="000F15FF">
              <w:rPr>
                <w:b/>
                <w:sz w:val="18"/>
                <w:szCs w:val="18"/>
              </w:rPr>
              <w:t>Maximum</w:t>
            </w:r>
          </w:p>
        </w:tc>
        <w:tc>
          <w:tcPr>
            <w:tcW w:w="1503" w:type="dxa"/>
            <w:tcBorders>
              <w:top w:val="single" w:sz="4" w:space="0" w:color="auto"/>
              <w:left w:val="nil"/>
              <w:bottom w:val="single" w:sz="4" w:space="0" w:color="auto"/>
              <w:right w:val="nil"/>
            </w:tcBorders>
          </w:tcPr>
          <w:p w14:paraId="06E8BA08" w14:textId="77777777" w:rsidR="000F15FF" w:rsidRPr="000F15FF" w:rsidRDefault="000F15FF" w:rsidP="00DD2D44">
            <w:pPr>
              <w:jc w:val="center"/>
              <w:rPr>
                <w:b/>
                <w:sz w:val="18"/>
                <w:szCs w:val="18"/>
              </w:rPr>
            </w:pPr>
            <w:r w:rsidRPr="000F15FF">
              <w:rPr>
                <w:b/>
                <w:sz w:val="18"/>
                <w:szCs w:val="18"/>
              </w:rPr>
              <w:t>Mean</w:t>
            </w:r>
          </w:p>
        </w:tc>
        <w:tc>
          <w:tcPr>
            <w:tcW w:w="1503" w:type="dxa"/>
            <w:tcBorders>
              <w:top w:val="single" w:sz="4" w:space="0" w:color="auto"/>
              <w:left w:val="nil"/>
              <w:bottom w:val="single" w:sz="4" w:space="0" w:color="auto"/>
              <w:right w:val="nil"/>
            </w:tcBorders>
          </w:tcPr>
          <w:p w14:paraId="29358618" w14:textId="77777777" w:rsidR="000F15FF" w:rsidRPr="000F15FF" w:rsidRDefault="000F15FF" w:rsidP="00DD2D44">
            <w:pPr>
              <w:jc w:val="center"/>
              <w:rPr>
                <w:b/>
                <w:sz w:val="18"/>
                <w:szCs w:val="18"/>
              </w:rPr>
            </w:pPr>
            <w:r w:rsidRPr="000F15FF">
              <w:rPr>
                <w:b/>
                <w:sz w:val="18"/>
                <w:szCs w:val="18"/>
              </w:rPr>
              <w:t>Std. Deviation</w:t>
            </w:r>
          </w:p>
        </w:tc>
      </w:tr>
      <w:tr w:rsidR="000F15FF" w:rsidRPr="007268A9" w14:paraId="656F93AB" w14:textId="77777777" w:rsidTr="00FE6B0C">
        <w:tc>
          <w:tcPr>
            <w:tcW w:w="2122" w:type="dxa"/>
            <w:tcBorders>
              <w:top w:val="single" w:sz="4" w:space="0" w:color="auto"/>
              <w:left w:val="nil"/>
              <w:bottom w:val="single" w:sz="4" w:space="0" w:color="auto"/>
              <w:right w:val="nil"/>
            </w:tcBorders>
          </w:tcPr>
          <w:p w14:paraId="3A241DD0" w14:textId="77777777" w:rsidR="000F15FF" w:rsidRPr="007268A9" w:rsidRDefault="000F15FF" w:rsidP="000F15FF">
            <w:pPr>
              <w:pStyle w:val="Paragraph"/>
            </w:pPr>
            <w:r w:rsidRPr="007268A9">
              <w:t>Pre-test</w:t>
            </w:r>
          </w:p>
          <w:p w14:paraId="16987AA0" w14:textId="77777777" w:rsidR="000F15FF" w:rsidRPr="007268A9" w:rsidRDefault="000F15FF" w:rsidP="000F15FF">
            <w:pPr>
              <w:pStyle w:val="Paragraph"/>
            </w:pPr>
            <w:r w:rsidRPr="007268A9">
              <w:t>Post-test</w:t>
            </w:r>
          </w:p>
          <w:p w14:paraId="72A4F93B" w14:textId="77777777" w:rsidR="000F15FF" w:rsidRPr="007268A9" w:rsidRDefault="000F15FF" w:rsidP="000F15FF">
            <w:pPr>
              <w:pStyle w:val="Paragraph"/>
              <w:rPr>
                <w:rStyle w:val="q4iawc"/>
                <w:lang w:val="en"/>
              </w:rPr>
            </w:pPr>
            <w:r w:rsidRPr="007268A9">
              <w:t>Valid N (listwise)</w:t>
            </w:r>
          </w:p>
        </w:tc>
        <w:tc>
          <w:tcPr>
            <w:tcW w:w="882" w:type="dxa"/>
            <w:tcBorders>
              <w:top w:val="single" w:sz="4" w:space="0" w:color="auto"/>
              <w:left w:val="nil"/>
              <w:bottom w:val="single" w:sz="4" w:space="0" w:color="auto"/>
              <w:right w:val="nil"/>
            </w:tcBorders>
          </w:tcPr>
          <w:p w14:paraId="3DFA339C" w14:textId="15789DE3" w:rsidR="000F15FF" w:rsidRPr="007268A9" w:rsidRDefault="007268A9" w:rsidP="000F15FF">
            <w:pPr>
              <w:pStyle w:val="Paragraph"/>
            </w:pPr>
            <w:r w:rsidRPr="007268A9">
              <w:t>92</w:t>
            </w:r>
          </w:p>
          <w:p w14:paraId="429AC628" w14:textId="5FA72F2E" w:rsidR="000F15FF" w:rsidRPr="007268A9" w:rsidRDefault="007268A9" w:rsidP="000F15FF">
            <w:pPr>
              <w:pStyle w:val="Paragraph"/>
            </w:pPr>
            <w:r w:rsidRPr="007268A9">
              <w:t>92</w:t>
            </w:r>
          </w:p>
          <w:p w14:paraId="46B0C83E" w14:textId="3999FAA3" w:rsidR="000F15FF" w:rsidRPr="007268A9" w:rsidRDefault="007268A9" w:rsidP="000F15FF">
            <w:pPr>
              <w:pStyle w:val="Paragraph"/>
            </w:pPr>
            <w:r w:rsidRPr="007268A9">
              <w:t>92</w:t>
            </w:r>
          </w:p>
        </w:tc>
        <w:tc>
          <w:tcPr>
            <w:tcW w:w="1503" w:type="dxa"/>
            <w:tcBorders>
              <w:top w:val="single" w:sz="4" w:space="0" w:color="auto"/>
              <w:left w:val="nil"/>
              <w:bottom w:val="single" w:sz="4" w:space="0" w:color="auto"/>
              <w:right w:val="nil"/>
            </w:tcBorders>
          </w:tcPr>
          <w:p w14:paraId="06FED8F4" w14:textId="77777777" w:rsidR="000F15FF" w:rsidRPr="007268A9" w:rsidRDefault="000F15FF" w:rsidP="000F15FF">
            <w:pPr>
              <w:pStyle w:val="Paragraph"/>
            </w:pPr>
            <w:r w:rsidRPr="007268A9">
              <w:t>18</w:t>
            </w:r>
          </w:p>
          <w:p w14:paraId="79D5C7BA" w14:textId="77777777" w:rsidR="000F15FF" w:rsidRPr="007268A9" w:rsidRDefault="000F15FF" w:rsidP="000F15FF">
            <w:pPr>
              <w:pStyle w:val="Paragraph"/>
            </w:pPr>
            <w:r w:rsidRPr="007268A9">
              <w:t>26</w:t>
            </w:r>
          </w:p>
        </w:tc>
        <w:tc>
          <w:tcPr>
            <w:tcW w:w="1503" w:type="dxa"/>
            <w:tcBorders>
              <w:top w:val="single" w:sz="4" w:space="0" w:color="auto"/>
              <w:left w:val="nil"/>
              <w:bottom w:val="single" w:sz="4" w:space="0" w:color="auto"/>
              <w:right w:val="nil"/>
            </w:tcBorders>
          </w:tcPr>
          <w:p w14:paraId="195C2887" w14:textId="77777777" w:rsidR="000F15FF" w:rsidRPr="007268A9" w:rsidRDefault="000F15FF" w:rsidP="000F15FF">
            <w:pPr>
              <w:pStyle w:val="Paragraph"/>
            </w:pPr>
            <w:r w:rsidRPr="007268A9">
              <w:t>78</w:t>
            </w:r>
          </w:p>
          <w:p w14:paraId="7F8B838D" w14:textId="77777777" w:rsidR="000F15FF" w:rsidRPr="007268A9" w:rsidRDefault="000F15FF" w:rsidP="000F15FF">
            <w:pPr>
              <w:pStyle w:val="Paragraph"/>
            </w:pPr>
            <w:r w:rsidRPr="007268A9">
              <w:t>88</w:t>
            </w:r>
          </w:p>
        </w:tc>
        <w:tc>
          <w:tcPr>
            <w:tcW w:w="1503" w:type="dxa"/>
            <w:tcBorders>
              <w:top w:val="single" w:sz="4" w:space="0" w:color="auto"/>
              <w:left w:val="nil"/>
              <w:bottom w:val="single" w:sz="4" w:space="0" w:color="auto"/>
              <w:right w:val="nil"/>
            </w:tcBorders>
          </w:tcPr>
          <w:p w14:paraId="2642C77D" w14:textId="77777777" w:rsidR="000F15FF" w:rsidRPr="007268A9" w:rsidRDefault="000F15FF" w:rsidP="000F15FF">
            <w:pPr>
              <w:pStyle w:val="Paragraph"/>
            </w:pPr>
            <w:r w:rsidRPr="007268A9">
              <w:t>46,91</w:t>
            </w:r>
          </w:p>
          <w:p w14:paraId="6AEBC546" w14:textId="77777777" w:rsidR="000F15FF" w:rsidRPr="007268A9" w:rsidRDefault="000F15FF" w:rsidP="000F15FF">
            <w:pPr>
              <w:pStyle w:val="Paragraph"/>
            </w:pPr>
            <w:r w:rsidRPr="007268A9">
              <w:t>61,08</w:t>
            </w:r>
          </w:p>
        </w:tc>
        <w:tc>
          <w:tcPr>
            <w:tcW w:w="1503" w:type="dxa"/>
            <w:tcBorders>
              <w:top w:val="single" w:sz="4" w:space="0" w:color="auto"/>
              <w:left w:val="nil"/>
              <w:bottom w:val="single" w:sz="4" w:space="0" w:color="auto"/>
              <w:right w:val="nil"/>
            </w:tcBorders>
          </w:tcPr>
          <w:p w14:paraId="71FBF77A" w14:textId="77777777" w:rsidR="000F15FF" w:rsidRPr="007268A9" w:rsidRDefault="000F15FF" w:rsidP="000F15FF">
            <w:pPr>
              <w:pStyle w:val="Paragraph"/>
            </w:pPr>
            <w:r w:rsidRPr="007268A9">
              <w:t>19,8</w:t>
            </w:r>
          </w:p>
          <w:p w14:paraId="6A51F6A2" w14:textId="77777777" w:rsidR="000F15FF" w:rsidRPr="007268A9" w:rsidRDefault="000F15FF" w:rsidP="000F15FF">
            <w:pPr>
              <w:pStyle w:val="Paragraph"/>
            </w:pPr>
            <w:r w:rsidRPr="007268A9">
              <w:t>17,3</w:t>
            </w:r>
          </w:p>
        </w:tc>
      </w:tr>
    </w:tbl>
    <w:p w14:paraId="1669887C" w14:textId="77777777" w:rsidR="000F15FF" w:rsidRPr="007268A9" w:rsidRDefault="000F15FF" w:rsidP="00BA3B3D">
      <w:pPr>
        <w:pStyle w:val="Paragraph"/>
      </w:pPr>
    </w:p>
    <w:p w14:paraId="3BCFFCE6" w14:textId="052700A5" w:rsidR="000F15FF" w:rsidRPr="007268A9" w:rsidRDefault="009536AD" w:rsidP="000F15FF">
      <w:pPr>
        <w:pStyle w:val="Paragraph"/>
        <w:ind w:firstLine="0"/>
      </w:pPr>
      <w:r w:rsidRPr="007268A9">
        <w:t>Based on the information obtained in the Table 1, the mean of the pretest results and posttest of 46.91 and 61.08 with a standard deviation of 19,8 in the pretest results and 17,3 in the posttest. scores the highest pretest and posttest scores are respectively 78 and 88, while the lowest scores for pretest and posttest are respectively 18 and 26.</w:t>
      </w:r>
    </w:p>
    <w:p w14:paraId="5AC9FAFD" w14:textId="076ACF2D" w:rsidR="006F6204" w:rsidRPr="007268A9" w:rsidRDefault="006F6204" w:rsidP="006F6204">
      <w:pPr>
        <w:pStyle w:val="Paragraph"/>
      </w:pPr>
      <w:r w:rsidRPr="007268A9">
        <w:t>Before applying Paired Samples T-Test, the test of normality is undertaken. The data both in the pre-test and the post-test respectively satisfies normality with sig. 0,347 and 0,231 and the lower bound of the true significance are 0,2 and 0,15</w:t>
      </w:r>
      <w:r w:rsidR="00237F1D" w:rsidRPr="007268A9">
        <w:t xml:space="preserve"> which means the normality</w:t>
      </w:r>
      <w:r w:rsidRPr="007268A9">
        <w:t>. The results of the Paired Samples T-Test can be seen in the Table 2.</w:t>
      </w:r>
    </w:p>
    <w:p w14:paraId="71A00321" w14:textId="77777777" w:rsidR="006F6204" w:rsidRPr="007268A9" w:rsidRDefault="006F6204" w:rsidP="006F6204">
      <w:pPr>
        <w:pStyle w:val="Paragraph"/>
      </w:pPr>
    </w:p>
    <w:p w14:paraId="11AE9F58" w14:textId="7FF5B028" w:rsidR="006F6204" w:rsidRPr="007268A9" w:rsidRDefault="006F6204" w:rsidP="006F6204">
      <w:pPr>
        <w:pStyle w:val="Paragraph"/>
        <w:jc w:val="center"/>
      </w:pPr>
      <w:r w:rsidRPr="007268A9">
        <w:t>Table 2. The Result of The Paired Sample T-Test</w:t>
      </w:r>
    </w:p>
    <w:p w14:paraId="0F73E5AC" w14:textId="77777777" w:rsidR="006F6204" w:rsidRPr="007268A9" w:rsidRDefault="006F6204" w:rsidP="006F6204">
      <w:pPr>
        <w:pStyle w:val="Paragraph"/>
        <w:jc w:val="cente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993"/>
        <w:gridCol w:w="992"/>
        <w:gridCol w:w="1134"/>
        <w:gridCol w:w="992"/>
        <w:gridCol w:w="992"/>
        <w:gridCol w:w="993"/>
        <w:gridCol w:w="708"/>
        <w:gridCol w:w="567"/>
        <w:gridCol w:w="993"/>
      </w:tblGrid>
      <w:tr w:rsidR="007268A9" w:rsidRPr="007268A9" w14:paraId="28C48079" w14:textId="77777777" w:rsidTr="00DD2D44">
        <w:trPr>
          <w:cantSplit/>
        </w:trPr>
        <w:tc>
          <w:tcPr>
            <w:tcW w:w="8931" w:type="dxa"/>
            <w:gridSpan w:val="10"/>
            <w:tcBorders>
              <w:top w:val="nil"/>
              <w:left w:val="nil"/>
              <w:bottom w:val="nil"/>
              <w:right w:val="nil"/>
            </w:tcBorders>
            <w:shd w:val="clear" w:color="auto" w:fill="FFFFFF"/>
            <w:vAlign w:val="center"/>
          </w:tcPr>
          <w:p w14:paraId="7928AEBD" w14:textId="77777777" w:rsidR="006F6204" w:rsidRPr="007268A9" w:rsidRDefault="006F6204" w:rsidP="00DD2D44">
            <w:pPr>
              <w:autoSpaceDE w:val="0"/>
              <w:autoSpaceDN w:val="0"/>
              <w:adjustRightInd w:val="0"/>
              <w:spacing w:line="320" w:lineRule="atLeast"/>
              <w:ind w:left="60" w:right="60"/>
              <w:jc w:val="center"/>
              <w:rPr>
                <w:rFonts w:ascii="Arial" w:hAnsi="Arial" w:cs="Arial"/>
              </w:rPr>
            </w:pPr>
            <w:r w:rsidRPr="007268A9">
              <w:rPr>
                <w:rFonts w:ascii="Arial" w:hAnsi="Arial" w:cs="Arial"/>
                <w:b/>
                <w:bCs/>
              </w:rPr>
              <w:t>Paired Samples Test</w:t>
            </w:r>
          </w:p>
        </w:tc>
      </w:tr>
      <w:tr w:rsidR="007268A9" w:rsidRPr="007268A9" w14:paraId="7C5B276E" w14:textId="77777777" w:rsidTr="00DD2D44">
        <w:trPr>
          <w:cantSplit/>
        </w:trPr>
        <w:tc>
          <w:tcPr>
            <w:tcW w:w="1560" w:type="dxa"/>
            <w:gridSpan w:val="2"/>
            <w:vMerge w:val="restart"/>
            <w:tcBorders>
              <w:top w:val="nil"/>
              <w:left w:val="nil"/>
              <w:bottom w:val="nil"/>
              <w:right w:val="nil"/>
            </w:tcBorders>
            <w:shd w:val="clear" w:color="auto" w:fill="FFFFFF"/>
            <w:vAlign w:val="bottom"/>
          </w:tcPr>
          <w:p w14:paraId="15816685" w14:textId="77777777" w:rsidR="006F6204" w:rsidRPr="007268A9" w:rsidRDefault="006F6204" w:rsidP="00DD2D44">
            <w:pPr>
              <w:autoSpaceDE w:val="0"/>
              <w:autoSpaceDN w:val="0"/>
              <w:adjustRightInd w:val="0"/>
              <w:rPr>
                <w:szCs w:val="24"/>
              </w:rPr>
            </w:pPr>
          </w:p>
        </w:tc>
        <w:tc>
          <w:tcPr>
            <w:tcW w:w="5103" w:type="dxa"/>
            <w:gridSpan w:val="5"/>
            <w:tcBorders>
              <w:top w:val="nil"/>
              <w:left w:val="nil"/>
              <w:bottom w:val="nil"/>
              <w:right w:val="single" w:sz="8" w:space="0" w:color="E0E0E0"/>
            </w:tcBorders>
            <w:shd w:val="clear" w:color="auto" w:fill="FFFFFF"/>
            <w:vAlign w:val="bottom"/>
          </w:tcPr>
          <w:p w14:paraId="2046B783"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r w:rsidRPr="007268A9">
              <w:rPr>
                <w:rFonts w:ascii="Arial" w:hAnsi="Arial" w:cs="Arial"/>
                <w:sz w:val="18"/>
                <w:szCs w:val="18"/>
              </w:rPr>
              <w:t>Paired Differences</w:t>
            </w:r>
          </w:p>
        </w:tc>
        <w:tc>
          <w:tcPr>
            <w:tcW w:w="708" w:type="dxa"/>
            <w:vMerge w:val="restart"/>
            <w:tcBorders>
              <w:top w:val="nil"/>
              <w:left w:val="single" w:sz="8" w:space="0" w:color="E0E0E0"/>
              <w:bottom w:val="nil"/>
              <w:right w:val="single" w:sz="8" w:space="0" w:color="E0E0E0"/>
            </w:tcBorders>
            <w:shd w:val="clear" w:color="auto" w:fill="FFFFFF"/>
            <w:vAlign w:val="bottom"/>
          </w:tcPr>
          <w:p w14:paraId="53FAE319"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r w:rsidRPr="007268A9">
              <w:rPr>
                <w:rFonts w:ascii="Arial" w:hAnsi="Arial" w:cs="Arial"/>
                <w:sz w:val="18"/>
                <w:szCs w:val="18"/>
              </w:rPr>
              <w:t>t</w:t>
            </w:r>
          </w:p>
        </w:tc>
        <w:tc>
          <w:tcPr>
            <w:tcW w:w="567" w:type="dxa"/>
            <w:vMerge w:val="restart"/>
            <w:tcBorders>
              <w:top w:val="nil"/>
              <w:left w:val="single" w:sz="8" w:space="0" w:color="E0E0E0"/>
              <w:bottom w:val="nil"/>
              <w:right w:val="single" w:sz="8" w:space="0" w:color="E0E0E0"/>
            </w:tcBorders>
            <w:shd w:val="clear" w:color="auto" w:fill="FFFFFF"/>
            <w:vAlign w:val="bottom"/>
          </w:tcPr>
          <w:p w14:paraId="5AE70CFF"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proofErr w:type="spellStart"/>
            <w:r w:rsidRPr="007268A9">
              <w:rPr>
                <w:rFonts w:ascii="Arial" w:hAnsi="Arial" w:cs="Arial"/>
                <w:sz w:val="18"/>
                <w:szCs w:val="18"/>
              </w:rPr>
              <w:t>df</w:t>
            </w:r>
            <w:proofErr w:type="spellEnd"/>
          </w:p>
        </w:tc>
        <w:tc>
          <w:tcPr>
            <w:tcW w:w="993" w:type="dxa"/>
            <w:vMerge w:val="restart"/>
            <w:tcBorders>
              <w:top w:val="nil"/>
              <w:left w:val="single" w:sz="8" w:space="0" w:color="E0E0E0"/>
              <w:bottom w:val="nil"/>
              <w:right w:val="nil"/>
            </w:tcBorders>
            <w:shd w:val="clear" w:color="auto" w:fill="FFFFFF"/>
            <w:vAlign w:val="bottom"/>
          </w:tcPr>
          <w:p w14:paraId="6CEA8773"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r w:rsidRPr="007268A9">
              <w:rPr>
                <w:rFonts w:ascii="Arial" w:hAnsi="Arial" w:cs="Arial"/>
                <w:sz w:val="18"/>
                <w:szCs w:val="18"/>
              </w:rPr>
              <w:t>Sig. (2-tailed)</w:t>
            </w:r>
          </w:p>
        </w:tc>
      </w:tr>
      <w:tr w:rsidR="007268A9" w:rsidRPr="007268A9" w14:paraId="3676A37F" w14:textId="77777777" w:rsidTr="00DD2D44">
        <w:trPr>
          <w:cantSplit/>
        </w:trPr>
        <w:tc>
          <w:tcPr>
            <w:tcW w:w="1560" w:type="dxa"/>
            <w:gridSpan w:val="2"/>
            <w:vMerge/>
            <w:tcBorders>
              <w:top w:val="nil"/>
              <w:left w:val="nil"/>
              <w:bottom w:val="nil"/>
              <w:right w:val="nil"/>
            </w:tcBorders>
            <w:shd w:val="clear" w:color="auto" w:fill="FFFFFF"/>
            <w:vAlign w:val="bottom"/>
          </w:tcPr>
          <w:p w14:paraId="5004B373" w14:textId="77777777" w:rsidR="006F6204" w:rsidRPr="007268A9" w:rsidRDefault="006F6204" w:rsidP="00DD2D44">
            <w:pPr>
              <w:autoSpaceDE w:val="0"/>
              <w:autoSpaceDN w:val="0"/>
              <w:adjustRightInd w:val="0"/>
              <w:rPr>
                <w:rFonts w:ascii="Arial" w:hAnsi="Arial" w:cs="Arial"/>
                <w:sz w:val="18"/>
                <w:szCs w:val="18"/>
              </w:rPr>
            </w:pPr>
          </w:p>
        </w:tc>
        <w:tc>
          <w:tcPr>
            <w:tcW w:w="992" w:type="dxa"/>
            <w:vMerge w:val="restart"/>
            <w:tcBorders>
              <w:top w:val="nil"/>
              <w:left w:val="nil"/>
              <w:bottom w:val="nil"/>
              <w:right w:val="single" w:sz="8" w:space="0" w:color="E0E0E0"/>
            </w:tcBorders>
            <w:shd w:val="clear" w:color="auto" w:fill="FFFFFF"/>
            <w:vAlign w:val="bottom"/>
          </w:tcPr>
          <w:p w14:paraId="5F6532CB"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r w:rsidRPr="007268A9">
              <w:rPr>
                <w:rFonts w:ascii="Arial" w:hAnsi="Arial" w:cs="Arial"/>
                <w:sz w:val="18"/>
                <w:szCs w:val="18"/>
              </w:rPr>
              <w:t>Mean</w:t>
            </w:r>
          </w:p>
        </w:tc>
        <w:tc>
          <w:tcPr>
            <w:tcW w:w="1134" w:type="dxa"/>
            <w:vMerge w:val="restart"/>
            <w:tcBorders>
              <w:top w:val="nil"/>
              <w:left w:val="single" w:sz="8" w:space="0" w:color="E0E0E0"/>
              <w:bottom w:val="nil"/>
              <w:right w:val="single" w:sz="8" w:space="0" w:color="E0E0E0"/>
            </w:tcBorders>
            <w:shd w:val="clear" w:color="auto" w:fill="FFFFFF"/>
            <w:vAlign w:val="bottom"/>
          </w:tcPr>
          <w:p w14:paraId="485A84CA"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r w:rsidRPr="007268A9">
              <w:rPr>
                <w:rFonts w:ascii="Arial" w:hAnsi="Arial" w:cs="Arial"/>
                <w:sz w:val="18"/>
                <w:szCs w:val="18"/>
              </w:rPr>
              <w:t>Std. Deviation</w:t>
            </w:r>
          </w:p>
        </w:tc>
        <w:tc>
          <w:tcPr>
            <w:tcW w:w="992" w:type="dxa"/>
            <w:vMerge w:val="restart"/>
            <w:tcBorders>
              <w:top w:val="nil"/>
              <w:left w:val="single" w:sz="8" w:space="0" w:color="E0E0E0"/>
              <w:bottom w:val="nil"/>
              <w:right w:val="single" w:sz="8" w:space="0" w:color="E0E0E0"/>
            </w:tcBorders>
            <w:shd w:val="clear" w:color="auto" w:fill="FFFFFF"/>
            <w:vAlign w:val="bottom"/>
          </w:tcPr>
          <w:p w14:paraId="53A51A90"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r w:rsidRPr="007268A9">
              <w:rPr>
                <w:rFonts w:ascii="Arial" w:hAnsi="Arial" w:cs="Arial"/>
                <w:sz w:val="18"/>
                <w:szCs w:val="18"/>
              </w:rPr>
              <w:t>Std. Error Mean</w:t>
            </w:r>
          </w:p>
        </w:tc>
        <w:tc>
          <w:tcPr>
            <w:tcW w:w="1985" w:type="dxa"/>
            <w:gridSpan w:val="2"/>
            <w:tcBorders>
              <w:top w:val="nil"/>
              <w:left w:val="single" w:sz="8" w:space="0" w:color="E0E0E0"/>
              <w:bottom w:val="nil"/>
              <w:right w:val="single" w:sz="8" w:space="0" w:color="E0E0E0"/>
            </w:tcBorders>
            <w:shd w:val="clear" w:color="auto" w:fill="FFFFFF"/>
            <w:vAlign w:val="bottom"/>
          </w:tcPr>
          <w:p w14:paraId="7FF8F6B4"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r w:rsidRPr="007268A9">
              <w:rPr>
                <w:rFonts w:ascii="Arial" w:hAnsi="Arial" w:cs="Arial"/>
                <w:sz w:val="18"/>
                <w:szCs w:val="18"/>
              </w:rPr>
              <w:t>95% Confidence Interval of the Difference</w:t>
            </w:r>
          </w:p>
        </w:tc>
        <w:tc>
          <w:tcPr>
            <w:tcW w:w="708" w:type="dxa"/>
            <w:vMerge/>
            <w:tcBorders>
              <w:top w:val="nil"/>
              <w:left w:val="single" w:sz="8" w:space="0" w:color="E0E0E0"/>
              <w:bottom w:val="nil"/>
              <w:right w:val="single" w:sz="8" w:space="0" w:color="E0E0E0"/>
            </w:tcBorders>
            <w:shd w:val="clear" w:color="auto" w:fill="FFFFFF"/>
            <w:vAlign w:val="bottom"/>
          </w:tcPr>
          <w:p w14:paraId="0D1D42EB" w14:textId="77777777" w:rsidR="006F6204" w:rsidRPr="007268A9" w:rsidRDefault="006F6204" w:rsidP="00DD2D44">
            <w:pPr>
              <w:autoSpaceDE w:val="0"/>
              <w:autoSpaceDN w:val="0"/>
              <w:adjustRightInd w:val="0"/>
              <w:rPr>
                <w:rFonts w:ascii="Arial" w:hAnsi="Arial" w:cs="Arial"/>
                <w:sz w:val="18"/>
                <w:szCs w:val="18"/>
              </w:rPr>
            </w:pPr>
          </w:p>
        </w:tc>
        <w:tc>
          <w:tcPr>
            <w:tcW w:w="567" w:type="dxa"/>
            <w:vMerge/>
            <w:tcBorders>
              <w:top w:val="nil"/>
              <w:left w:val="single" w:sz="8" w:space="0" w:color="E0E0E0"/>
              <w:bottom w:val="nil"/>
              <w:right w:val="single" w:sz="8" w:space="0" w:color="E0E0E0"/>
            </w:tcBorders>
            <w:shd w:val="clear" w:color="auto" w:fill="FFFFFF"/>
            <w:vAlign w:val="bottom"/>
          </w:tcPr>
          <w:p w14:paraId="369CD7A9" w14:textId="77777777" w:rsidR="006F6204" w:rsidRPr="007268A9" w:rsidRDefault="006F6204" w:rsidP="00DD2D44">
            <w:pPr>
              <w:autoSpaceDE w:val="0"/>
              <w:autoSpaceDN w:val="0"/>
              <w:adjustRightInd w:val="0"/>
              <w:rPr>
                <w:rFonts w:ascii="Arial" w:hAnsi="Arial" w:cs="Arial"/>
                <w:sz w:val="18"/>
                <w:szCs w:val="18"/>
              </w:rPr>
            </w:pPr>
          </w:p>
        </w:tc>
        <w:tc>
          <w:tcPr>
            <w:tcW w:w="993" w:type="dxa"/>
            <w:vMerge/>
            <w:tcBorders>
              <w:top w:val="nil"/>
              <w:left w:val="single" w:sz="8" w:space="0" w:color="E0E0E0"/>
              <w:bottom w:val="nil"/>
              <w:right w:val="nil"/>
            </w:tcBorders>
            <w:shd w:val="clear" w:color="auto" w:fill="FFFFFF"/>
            <w:vAlign w:val="bottom"/>
          </w:tcPr>
          <w:p w14:paraId="3A0A4144" w14:textId="77777777" w:rsidR="006F6204" w:rsidRPr="007268A9" w:rsidRDefault="006F6204" w:rsidP="00DD2D44">
            <w:pPr>
              <w:autoSpaceDE w:val="0"/>
              <w:autoSpaceDN w:val="0"/>
              <w:adjustRightInd w:val="0"/>
              <w:rPr>
                <w:rFonts w:ascii="Arial" w:hAnsi="Arial" w:cs="Arial"/>
                <w:sz w:val="18"/>
                <w:szCs w:val="18"/>
              </w:rPr>
            </w:pPr>
          </w:p>
        </w:tc>
      </w:tr>
      <w:tr w:rsidR="007268A9" w:rsidRPr="007268A9" w14:paraId="6537838E" w14:textId="77777777" w:rsidTr="00DD2D44">
        <w:trPr>
          <w:cantSplit/>
        </w:trPr>
        <w:tc>
          <w:tcPr>
            <w:tcW w:w="1560" w:type="dxa"/>
            <w:gridSpan w:val="2"/>
            <w:vMerge/>
            <w:tcBorders>
              <w:top w:val="nil"/>
              <w:left w:val="nil"/>
              <w:bottom w:val="nil"/>
              <w:right w:val="nil"/>
            </w:tcBorders>
            <w:shd w:val="clear" w:color="auto" w:fill="FFFFFF"/>
            <w:vAlign w:val="bottom"/>
          </w:tcPr>
          <w:p w14:paraId="006B1828" w14:textId="77777777" w:rsidR="006F6204" w:rsidRPr="007268A9" w:rsidRDefault="006F6204" w:rsidP="00DD2D44">
            <w:pPr>
              <w:autoSpaceDE w:val="0"/>
              <w:autoSpaceDN w:val="0"/>
              <w:adjustRightInd w:val="0"/>
              <w:rPr>
                <w:rFonts w:ascii="Arial" w:hAnsi="Arial" w:cs="Arial"/>
                <w:sz w:val="18"/>
                <w:szCs w:val="18"/>
              </w:rPr>
            </w:pPr>
          </w:p>
        </w:tc>
        <w:tc>
          <w:tcPr>
            <w:tcW w:w="992" w:type="dxa"/>
            <w:vMerge/>
            <w:tcBorders>
              <w:top w:val="nil"/>
              <w:left w:val="nil"/>
              <w:bottom w:val="nil"/>
              <w:right w:val="single" w:sz="8" w:space="0" w:color="E0E0E0"/>
            </w:tcBorders>
            <w:shd w:val="clear" w:color="auto" w:fill="FFFFFF"/>
            <w:vAlign w:val="bottom"/>
          </w:tcPr>
          <w:p w14:paraId="278A61EB" w14:textId="77777777" w:rsidR="006F6204" w:rsidRPr="007268A9" w:rsidRDefault="006F6204" w:rsidP="00DD2D44">
            <w:pPr>
              <w:autoSpaceDE w:val="0"/>
              <w:autoSpaceDN w:val="0"/>
              <w:adjustRightInd w:val="0"/>
              <w:rPr>
                <w:rFonts w:ascii="Arial" w:hAnsi="Arial" w:cs="Arial"/>
                <w:sz w:val="18"/>
                <w:szCs w:val="18"/>
              </w:rPr>
            </w:pPr>
          </w:p>
        </w:tc>
        <w:tc>
          <w:tcPr>
            <w:tcW w:w="1134" w:type="dxa"/>
            <w:vMerge/>
            <w:tcBorders>
              <w:top w:val="nil"/>
              <w:left w:val="single" w:sz="8" w:space="0" w:color="E0E0E0"/>
              <w:bottom w:val="nil"/>
              <w:right w:val="single" w:sz="8" w:space="0" w:color="E0E0E0"/>
            </w:tcBorders>
            <w:shd w:val="clear" w:color="auto" w:fill="FFFFFF"/>
            <w:vAlign w:val="bottom"/>
          </w:tcPr>
          <w:p w14:paraId="02DB2E5F" w14:textId="77777777" w:rsidR="006F6204" w:rsidRPr="007268A9" w:rsidRDefault="006F6204" w:rsidP="00DD2D44">
            <w:pPr>
              <w:autoSpaceDE w:val="0"/>
              <w:autoSpaceDN w:val="0"/>
              <w:adjustRightInd w:val="0"/>
              <w:rPr>
                <w:rFonts w:ascii="Arial" w:hAnsi="Arial" w:cs="Arial"/>
                <w:sz w:val="18"/>
                <w:szCs w:val="18"/>
              </w:rPr>
            </w:pPr>
          </w:p>
        </w:tc>
        <w:tc>
          <w:tcPr>
            <w:tcW w:w="992" w:type="dxa"/>
            <w:vMerge/>
            <w:tcBorders>
              <w:top w:val="nil"/>
              <w:left w:val="single" w:sz="8" w:space="0" w:color="E0E0E0"/>
              <w:bottom w:val="nil"/>
              <w:right w:val="single" w:sz="8" w:space="0" w:color="E0E0E0"/>
            </w:tcBorders>
            <w:shd w:val="clear" w:color="auto" w:fill="FFFFFF"/>
            <w:vAlign w:val="bottom"/>
          </w:tcPr>
          <w:p w14:paraId="2D8EA1C1" w14:textId="77777777" w:rsidR="006F6204" w:rsidRPr="007268A9" w:rsidRDefault="006F6204" w:rsidP="00DD2D44">
            <w:pPr>
              <w:autoSpaceDE w:val="0"/>
              <w:autoSpaceDN w:val="0"/>
              <w:adjustRightInd w:val="0"/>
              <w:rPr>
                <w:rFonts w:ascii="Arial" w:hAnsi="Arial" w:cs="Arial"/>
                <w:sz w:val="18"/>
                <w:szCs w:val="18"/>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53E043E4"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r w:rsidRPr="007268A9">
              <w:rPr>
                <w:rFonts w:ascii="Arial" w:hAnsi="Arial" w:cs="Arial"/>
                <w:sz w:val="18"/>
                <w:szCs w:val="18"/>
              </w:rPr>
              <w:t>Lower</w:t>
            </w: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5D9961B3" w14:textId="77777777" w:rsidR="006F6204" w:rsidRPr="007268A9" w:rsidRDefault="006F6204" w:rsidP="00DD2D44">
            <w:pPr>
              <w:autoSpaceDE w:val="0"/>
              <w:autoSpaceDN w:val="0"/>
              <w:adjustRightInd w:val="0"/>
              <w:spacing w:line="320" w:lineRule="atLeast"/>
              <w:ind w:left="60" w:right="60"/>
              <w:jc w:val="center"/>
              <w:rPr>
                <w:rFonts w:ascii="Arial" w:hAnsi="Arial" w:cs="Arial"/>
                <w:sz w:val="18"/>
                <w:szCs w:val="18"/>
              </w:rPr>
            </w:pPr>
            <w:r w:rsidRPr="007268A9">
              <w:rPr>
                <w:rFonts w:ascii="Arial" w:hAnsi="Arial" w:cs="Arial"/>
                <w:sz w:val="18"/>
                <w:szCs w:val="18"/>
              </w:rPr>
              <w:t>Upper</w:t>
            </w:r>
          </w:p>
        </w:tc>
        <w:tc>
          <w:tcPr>
            <w:tcW w:w="708" w:type="dxa"/>
            <w:vMerge/>
            <w:tcBorders>
              <w:top w:val="nil"/>
              <w:left w:val="single" w:sz="8" w:space="0" w:color="E0E0E0"/>
              <w:bottom w:val="nil"/>
              <w:right w:val="single" w:sz="8" w:space="0" w:color="E0E0E0"/>
            </w:tcBorders>
            <w:shd w:val="clear" w:color="auto" w:fill="FFFFFF"/>
            <w:vAlign w:val="bottom"/>
          </w:tcPr>
          <w:p w14:paraId="6045E658" w14:textId="77777777" w:rsidR="006F6204" w:rsidRPr="007268A9" w:rsidRDefault="006F6204" w:rsidP="00DD2D44">
            <w:pPr>
              <w:autoSpaceDE w:val="0"/>
              <w:autoSpaceDN w:val="0"/>
              <w:adjustRightInd w:val="0"/>
              <w:rPr>
                <w:rFonts w:ascii="Arial" w:hAnsi="Arial" w:cs="Arial"/>
                <w:sz w:val="18"/>
                <w:szCs w:val="18"/>
              </w:rPr>
            </w:pPr>
          </w:p>
        </w:tc>
        <w:tc>
          <w:tcPr>
            <w:tcW w:w="567" w:type="dxa"/>
            <w:vMerge/>
            <w:tcBorders>
              <w:top w:val="nil"/>
              <w:left w:val="single" w:sz="8" w:space="0" w:color="E0E0E0"/>
              <w:bottom w:val="nil"/>
              <w:right w:val="single" w:sz="8" w:space="0" w:color="E0E0E0"/>
            </w:tcBorders>
            <w:shd w:val="clear" w:color="auto" w:fill="FFFFFF"/>
            <w:vAlign w:val="bottom"/>
          </w:tcPr>
          <w:p w14:paraId="74A2A165" w14:textId="77777777" w:rsidR="006F6204" w:rsidRPr="007268A9" w:rsidRDefault="006F6204" w:rsidP="00DD2D44">
            <w:pPr>
              <w:autoSpaceDE w:val="0"/>
              <w:autoSpaceDN w:val="0"/>
              <w:adjustRightInd w:val="0"/>
              <w:rPr>
                <w:rFonts w:ascii="Arial" w:hAnsi="Arial" w:cs="Arial"/>
                <w:sz w:val="18"/>
                <w:szCs w:val="18"/>
              </w:rPr>
            </w:pPr>
          </w:p>
        </w:tc>
        <w:tc>
          <w:tcPr>
            <w:tcW w:w="993" w:type="dxa"/>
            <w:vMerge/>
            <w:tcBorders>
              <w:top w:val="nil"/>
              <w:left w:val="single" w:sz="8" w:space="0" w:color="E0E0E0"/>
              <w:bottom w:val="nil"/>
              <w:right w:val="nil"/>
            </w:tcBorders>
            <w:shd w:val="clear" w:color="auto" w:fill="FFFFFF"/>
            <w:vAlign w:val="bottom"/>
          </w:tcPr>
          <w:p w14:paraId="1E16A152" w14:textId="77777777" w:rsidR="006F6204" w:rsidRPr="007268A9" w:rsidRDefault="006F6204" w:rsidP="00DD2D44">
            <w:pPr>
              <w:autoSpaceDE w:val="0"/>
              <w:autoSpaceDN w:val="0"/>
              <w:adjustRightInd w:val="0"/>
              <w:rPr>
                <w:rFonts w:ascii="Arial" w:hAnsi="Arial" w:cs="Arial"/>
                <w:sz w:val="18"/>
                <w:szCs w:val="18"/>
              </w:rPr>
            </w:pPr>
          </w:p>
        </w:tc>
      </w:tr>
      <w:tr w:rsidR="007268A9" w:rsidRPr="007268A9" w14:paraId="5D8E6E43" w14:textId="77777777" w:rsidTr="00DD2D44">
        <w:trPr>
          <w:cantSplit/>
        </w:trPr>
        <w:tc>
          <w:tcPr>
            <w:tcW w:w="567" w:type="dxa"/>
            <w:tcBorders>
              <w:top w:val="single" w:sz="8" w:space="0" w:color="152935"/>
              <w:left w:val="nil"/>
              <w:bottom w:val="single" w:sz="8" w:space="0" w:color="152935"/>
              <w:right w:val="nil"/>
            </w:tcBorders>
            <w:shd w:val="clear" w:color="auto" w:fill="E0E0E0"/>
          </w:tcPr>
          <w:p w14:paraId="1DBEC457" w14:textId="77777777" w:rsidR="006F6204" w:rsidRPr="007268A9" w:rsidRDefault="006F6204" w:rsidP="00DD2D44">
            <w:pPr>
              <w:autoSpaceDE w:val="0"/>
              <w:autoSpaceDN w:val="0"/>
              <w:adjustRightInd w:val="0"/>
              <w:spacing w:line="320" w:lineRule="atLeast"/>
              <w:ind w:left="60" w:right="60"/>
              <w:rPr>
                <w:rFonts w:ascii="Arial" w:hAnsi="Arial" w:cs="Arial"/>
                <w:sz w:val="18"/>
                <w:szCs w:val="18"/>
              </w:rPr>
            </w:pPr>
            <w:r w:rsidRPr="007268A9">
              <w:rPr>
                <w:rFonts w:ascii="Arial" w:hAnsi="Arial" w:cs="Arial"/>
                <w:sz w:val="18"/>
                <w:szCs w:val="18"/>
              </w:rPr>
              <w:t>Pair 1</w:t>
            </w:r>
          </w:p>
        </w:tc>
        <w:tc>
          <w:tcPr>
            <w:tcW w:w="993" w:type="dxa"/>
            <w:tcBorders>
              <w:top w:val="single" w:sz="8" w:space="0" w:color="152935"/>
              <w:left w:val="nil"/>
              <w:bottom w:val="single" w:sz="8" w:space="0" w:color="152935"/>
              <w:right w:val="nil"/>
            </w:tcBorders>
            <w:shd w:val="clear" w:color="auto" w:fill="E0E0E0"/>
          </w:tcPr>
          <w:p w14:paraId="3A7F0AB5" w14:textId="77777777" w:rsidR="006F6204" w:rsidRPr="007268A9" w:rsidRDefault="006F6204" w:rsidP="00DD2D44">
            <w:pPr>
              <w:autoSpaceDE w:val="0"/>
              <w:autoSpaceDN w:val="0"/>
              <w:adjustRightInd w:val="0"/>
              <w:spacing w:line="320" w:lineRule="atLeast"/>
              <w:ind w:left="60" w:right="60"/>
              <w:rPr>
                <w:rFonts w:ascii="Arial" w:hAnsi="Arial" w:cs="Arial"/>
                <w:sz w:val="18"/>
                <w:szCs w:val="18"/>
              </w:rPr>
            </w:pPr>
            <w:proofErr w:type="spellStart"/>
            <w:r w:rsidRPr="007268A9">
              <w:rPr>
                <w:rFonts w:ascii="Arial" w:hAnsi="Arial" w:cs="Arial"/>
                <w:sz w:val="18"/>
                <w:szCs w:val="18"/>
              </w:rPr>
              <w:t>PreTest</w:t>
            </w:r>
            <w:proofErr w:type="spellEnd"/>
            <w:r w:rsidRPr="007268A9">
              <w:rPr>
                <w:rFonts w:ascii="Arial" w:hAnsi="Arial" w:cs="Arial"/>
                <w:sz w:val="18"/>
                <w:szCs w:val="18"/>
              </w:rPr>
              <w:t xml:space="preserve"> - </w:t>
            </w:r>
            <w:proofErr w:type="spellStart"/>
            <w:r w:rsidRPr="007268A9">
              <w:rPr>
                <w:rFonts w:ascii="Arial" w:hAnsi="Arial" w:cs="Arial"/>
                <w:sz w:val="18"/>
                <w:szCs w:val="18"/>
              </w:rPr>
              <w:t>PostTest</w:t>
            </w:r>
            <w:proofErr w:type="spellEnd"/>
          </w:p>
        </w:tc>
        <w:tc>
          <w:tcPr>
            <w:tcW w:w="992" w:type="dxa"/>
            <w:tcBorders>
              <w:top w:val="single" w:sz="8" w:space="0" w:color="152935"/>
              <w:left w:val="nil"/>
              <w:bottom w:val="single" w:sz="8" w:space="0" w:color="152935"/>
              <w:right w:val="single" w:sz="8" w:space="0" w:color="E0E0E0"/>
            </w:tcBorders>
            <w:shd w:val="clear" w:color="auto" w:fill="FFFFFF"/>
          </w:tcPr>
          <w:p w14:paraId="36CA9812" w14:textId="77777777" w:rsidR="006F6204" w:rsidRPr="007268A9" w:rsidRDefault="006F6204" w:rsidP="00DD2D44">
            <w:pPr>
              <w:autoSpaceDE w:val="0"/>
              <w:autoSpaceDN w:val="0"/>
              <w:adjustRightInd w:val="0"/>
              <w:spacing w:line="320" w:lineRule="atLeast"/>
              <w:ind w:left="60" w:right="60"/>
              <w:jc w:val="right"/>
              <w:rPr>
                <w:rFonts w:ascii="Arial" w:hAnsi="Arial" w:cs="Arial"/>
                <w:sz w:val="18"/>
                <w:szCs w:val="18"/>
              </w:rPr>
            </w:pPr>
            <w:r w:rsidRPr="007268A9">
              <w:rPr>
                <w:rFonts w:ascii="Arial" w:hAnsi="Arial" w:cs="Arial"/>
                <w:sz w:val="18"/>
                <w:szCs w:val="18"/>
              </w:rPr>
              <w:t>-14.16216</w:t>
            </w:r>
          </w:p>
        </w:tc>
        <w:tc>
          <w:tcPr>
            <w:tcW w:w="1134" w:type="dxa"/>
            <w:tcBorders>
              <w:top w:val="single" w:sz="8" w:space="0" w:color="152935"/>
              <w:left w:val="single" w:sz="8" w:space="0" w:color="E0E0E0"/>
              <w:bottom w:val="single" w:sz="8" w:space="0" w:color="152935"/>
              <w:right w:val="single" w:sz="8" w:space="0" w:color="E0E0E0"/>
            </w:tcBorders>
            <w:shd w:val="clear" w:color="auto" w:fill="FFFFFF"/>
          </w:tcPr>
          <w:p w14:paraId="1538CDF9" w14:textId="77777777" w:rsidR="006F6204" w:rsidRPr="007268A9" w:rsidRDefault="006F6204" w:rsidP="00DD2D44">
            <w:pPr>
              <w:autoSpaceDE w:val="0"/>
              <w:autoSpaceDN w:val="0"/>
              <w:adjustRightInd w:val="0"/>
              <w:spacing w:line="320" w:lineRule="atLeast"/>
              <w:ind w:left="60" w:right="60"/>
              <w:jc w:val="right"/>
              <w:rPr>
                <w:rFonts w:ascii="Arial" w:hAnsi="Arial" w:cs="Arial"/>
                <w:sz w:val="18"/>
                <w:szCs w:val="18"/>
              </w:rPr>
            </w:pPr>
            <w:r w:rsidRPr="007268A9">
              <w:rPr>
                <w:rFonts w:ascii="Arial" w:hAnsi="Arial" w:cs="Arial"/>
                <w:sz w:val="18"/>
                <w:szCs w:val="18"/>
              </w:rPr>
              <w:t>9.41781</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14:paraId="3F427E5B" w14:textId="77777777" w:rsidR="006F6204" w:rsidRPr="007268A9" w:rsidRDefault="006F6204" w:rsidP="00DD2D44">
            <w:pPr>
              <w:autoSpaceDE w:val="0"/>
              <w:autoSpaceDN w:val="0"/>
              <w:adjustRightInd w:val="0"/>
              <w:spacing w:line="320" w:lineRule="atLeast"/>
              <w:ind w:left="60" w:right="60"/>
              <w:jc w:val="right"/>
              <w:rPr>
                <w:rFonts w:ascii="Arial" w:hAnsi="Arial" w:cs="Arial"/>
                <w:sz w:val="18"/>
                <w:szCs w:val="18"/>
              </w:rPr>
            </w:pPr>
            <w:r w:rsidRPr="007268A9">
              <w:rPr>
                <w:rFonts w:ascii="Arial" w:hAnsi="Arial" w:cs="Arial"/>
                <w:sz w:val="18"/>
                <w:szCs w:val="18"/>
              </w:rPr>
              <w:t>1.54828</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14:paraId="74F64C09" w14:textId="77777777" w:rsidR="006F6204" w:rsidRPr="007268A9" w:rsidRDefault="006F6204" w:rsidP="00DD2D44">
            <w:pPr>
              <w:autoSpaceDE w:val="0"/>
              <w:autoSpaceDN w:val="0"/>
              <w:adjustRightInd w:val="0"/>
              <w:spacing w:line="320" w:lineRule="atLeast"/>
              <w:ind w:left="60" w:right="60"/>
              <w:jc w:val="right"/>
              <w:rPr>
                <w:rFonts w:ascii="Arial" w:hAnsi="Arial" w:cs="Arial"/>
                <w:sz w:val="18"/>
                <w:szCs w:val="18"/>
              </w:rPr>
            </w:pPr>
            <w:r w:rsidRPr="007268A9">
              <w:rPr>
                <w:rFonts w:ascii="Arial" w:hAnsi="Arial" w:cs="Arial"/>
                <w:sz w:val="18"/>
                <w:szCs w:val="18"/>
              </w:rPr>
              <w:t>-17.30222</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14:paraId="27CFF373" w14:textId="77777777" w:rsidR="006F6204" w:rsidRPr="007268A9" w:rsidRDefault="006F6204" w:rsidP="00DD2D44">
            <w:pPr>
              <w:autoSpaceDE w:val="0"/>
              <w:autoSpaceDN w:val="0"/>
              <w:adjustRightInd w:val="0"/>
              <w:spacing w:line="320" w:lineRule="atLeast"/>
              <w:ind w:left="60" w:right="60"/>
              <w:jc w:val="right"/>
              <w:rPr>
                <w:rFonts w:ascii="Arial" w:hAnsi="Arial" w:cs="Arial"/>
                <w:sz w:val="18"/>
                <w:szCs w:val="18"/>
              </w:rPr>
            </w:pPr>
            <w:r w:rsidRPr="007268A9">
              <w:rPr>
                <w:rFonts w:ascii="Arial" w:hAnsi="Arial" w:cs="Arial"/>
                <w:sz w:val="18"/>
                <w:szCs w:val="18"/>
              </w:rPr>
              <w:t>-11.02211</w:t>
            </w:r>
          </w:p>
        </w:tc>
        <w:tc>
          <w:tcPr>
            <w:tcW w:w="708" w:type="dxa"/>
            <w:tcBorders>
              <w:top w:val="single" w:sz="8" w:space="0" w:color="152935"/>
              <w:left w:val="single" w:sz="8" w:space="0" w:color="E0E0E0"/>
              <w:bottom w:val="single" w:sz="8" w:space="0" w:color="152935"/>
              <w:right w:val="single" w:sz="8" w:space="0" w:color="E0E0E0"/>
            </w:tcBorders>
            <w:shd w:val="clear" w:color="auto" w:fill="FFFFFF"/>
          </w:tcPr>
          <w:p w14:paraId="6FBB581E" w14:textId="77777777" w:rsidR="006F6204" w:rsidRPr="007268A9" w:rsidRDefault="006F6204" w:rsidP="00DD2D44">
            <w:pPr>
              <w:autoSpaceDE w:val="0"/>
              <w:autoSpaceDN w:val="0"/>
              <w:adjustRightInd w:val="0"/>
              <w:spacing w:line="320" w:lineRule="atLeast"/>
              <w:ind w:left="60" w:right="60"/>
              <w:jc w:val="right"/>
              <w:rPr>
                <w:rFonts w:ascii="Arial" w:hAnsi="Arial" w:cs="Arial"/>
                <w:sz w:val="18"/>
                <w:szCs w:val="18"/>
              </w:rPr>
            </w:pPr>
            <w:r w:rsidRPr="007268A9">
              <w:rPr>
                <w:rFonts w:ascii="Arial" w:hAnsi="Arial" w:cs="Arial"/>
                <w:sz w:val="18"/>
                <w:szCs w:val="18"/>
              </w:rPr>
              <w:t>-9.147</w:t>
            </w:r>
          </w:p>
        </w:tc>
        <w:tc>
          <w:tcPr>
            <w:tcW w:w="567" w:type="dxa"/>
            <w:tcBorders>
              <w:top w:val="single" w:sz="8" w:space="0" w:color="152935"/>
              <w:left w:val="single" w:sz="8" w:space="0" w:color="E0E0E0"/>
              <w:bottom w:val="single" w:sz="8" w:space="0" w:color="152935"/>
              <w:right w:val="single" w:sz="8" w:space="0" w:color="E0E0E0"/>
            </w:tcBorders>
            <w:shd w:val="clear" w:color="auto" w:fill="FFFFFF"/>
          </w:tcPr>
          <w:p w14:paraId="013072D6" w14:textId="77777777" w:rsidR="006F6204" w:rsidRPr="007268A9" w:rsidRDefault="006F6204" w:rsidP="00DD2D44">
            <w:pPr>
              <w:autoSpaceDE w:val="0"/>
              <w:autoSpaceDN w:val="0"/>
              <w:adjustRightInd w:val="0"/>
              <w:spacing w:line="320" w:lineRule="atLeast"/>
              <w:ind w:left="60" w:right="60"/>
              <w:jc w:val="right"/>
              <w:rPr>
                <w:rFonts w:ascii="Arial" w:hAnsi="Arial" w:cs="Arial"/>
                <w:sz w:val="18"/>
                <w:szCs w:val="18"/>
              </w:rPr>
            </w:pPr>
            <w:r w:rsidRPr="007268A9">
              <w:rPr>
                <w:rFonts w:ascii="Arial" w:hAnsi="Arial" w:cs="Arial"/>
                <w:sz w:val="18"/>
                <w:szCs w:val="18"/>
              </w:rPr>
              <w:t>36</w:t>
            </w:r>
          </w:p>
        </w:tc>
        <w:tc>
          <w:tcPr>
            <w:tcW w:w="993" w:type="dxa"/>
            <w:tcBorders>
              <w:top w:val="single" w:sz="8" w:space="0" w:color="152935"/>
              <w:left w:val="single" w:sz="8" w:space="0" w:color="E0E0E0"/>
              <w:bottom w:val="single" w:sz="8" w:space="0" w:color="152935"/>
              <w:right w:val="nil"/>
            </w:tcBorders>
            <w:shd w:val="clear" w:color="auto" w:fill="FFFFFF"/>
          </w:tcPr>
          <w:p w14:paraId="3AB219A4" w14:textId="77777777" w:rsidR="006F6204" w:rsidRPr="007268A9" w:rsidRDefault="006F6204" w:rsidP="00DD2D44">
            <w:pPr>
              <w:autoSpaceDE w:val="0"/>
              <w:autoSpaceDN w:val="0"/>
              <w:adjustRightInd w:val="0"/>
              <w:spacing w:line="320" w:lineRule="atLeast"/>
              <w:ind w:left="60" w:right="60"/>
              <w:jc w:val="right"/>
              <w:rPr>
                <w:rFonts w:ascii="Arial" w:hAnsi="Arial" w:cs="Arial"/>
                <w:sz w:val="18"/>
                <w:szCs w:val="18"/>
              </w:rPr>
            </w:pPr>
            <w:r w:rsidRPr="007268A9">
              <w:rPr>
                <w:rFonts w:ascii="Arial" w:hAnsi="Arial" w:cs="Arial"/>
                <w:sz w:val="18"/>
                <w:szCs w:val="18"/>
              </w:rPr>
              <w:t>.000</w:t>
            </w:r>
          </w:p>
        </w:tc>
      </w:tr>
    </w:tbl>
    <w:p w14:paraId="0298B373" w14:textId="77777777" w:rsidR="006F6204" w:rsidRPr="007268A9" w:rsidRDefault="006F6204" w:rsidP="006F6204">
      <w:pPr>
        <w:pStyle w:val="Paragraph"/>
      </w:pPr>
    </w:p>
    <w:p w14:paraId="2C5C8982" w14:textId="77777777" w:rsidR="00B85142" w:rsidRPr="007268A9" w:rsidRDefault="006F6204" w:rsidP="006F6204">
      <w:pPr>
        <w:pStyle w:val="Paragraph"/>
      </w:pPr>
      <w:r w:rsidRPr="007268A9">
        <w:t xml:space="preserve">The test results show the value of Sig.(2-tailed) equal to 0.000 or less than 0.05 so that it can be concluded that there is a significant difference between the post-test and the pre-test. </w:t>
      </w:r>
    </w:p>
    <w:p w14:paraId="65FF8AB3" w14:textId="01E78E26" w:rsidR="00B85142" w:rsidRPr="007268A9" w:rsidRDefault="00CE1ADB" w:rsidP="00E561D3">
      <w:pPr>
        <w:pStyle w:val="Paragraph"/>
      </w:pPr>
      <w:bookmarkStart w:id="1" w:name="_Hlk117276462"/>
      <w:r w:rsidRPr="007268A9">
        <w:t xml:space="preserve">The average student learning outcomes after being taught using the learning packages of which the hypothesis </w:t>
      </w:r>
      <w:r w:rsidR="00DA2EE6" w:rsidRPr="007268A9">
        <w:t xml:space="preserve">has been concerned obtain </w:t>
      </w:r>
      <w:r w:rsidR="00E561D3" w:rsidRPr="007268A9">
        <w:t xml:space="preserve">the value of p </w:t>
      </w:r>
      <w:r w:rsidRPr="007268A9">
        <w:t>(sig.(2-tailed) is 0,000 &lt; 0,05</w:t>
      </w:r>
      <w:r w:rsidR="00E561D3" w:rsidRPr="007268A9">
        <w:t xml:space="preserve"> or the</w:t>
      </w:r>
      <w:r w:rsidRPr="007268A9">
        <w:t xml:space="preserve"> average </w:t>
      </w:r>
      <w:r w:rsidR="00E561D3" w:rsidRPr="007268A9">
        <w:t xml:space="preserve">of the </w:t>
      </w:r>
      <w:r w:rsidRPr="007268A9">
        <w:t>student</w:t>
      </w:r>
      <w:r w:rsidR="00E561D3" w:rsidRPr="007268A9">
        <w:t>s’ score is</w:t>
      </w:r>
      <w:r w:rsidRPr="007268A9">
        <w:t xml:space="preserve"> more than 74.9. </w:t>
      </w:r>
      <w:r w:rsidR="00E561D3" w:rsidRPr="007268A9">
        <w:t>It</w:t>
      </w:r>
      <w:r w:rsidRPr="007268A9">
        <w:t xml:space="preserve"> means</w:t>
      </w:r>
      <w:r w:rsidR="00E561D3" w:rsidRPr="007268A9">
        <w:t xml:space="preserve"> H</w:t>
      </w:r>
      <w:r w:rsidR="00E561D3" w:rsidRPr="007268A9">
        <w:rPr>
          <w:vertAlign w:val="subscript"/>
        </w:rPr>
        <w:t>0</w:t>
      </w:r>
      <w:r w:rsidRPr="007268A9">
        <w:t xml:space="preserve"> </w:t>
      </w:r>
      <w:r w:rsidR="00E561D3" w:rsidRPr="007268A9">
        <w:t xml:space="preserve">is </w:t>
      </w:r>
      <w:r w:rsidRPr="007268A9">
        <w:t xml:space="preserve">rejected and </w:t>
      </w:r>
      <w:r w:rsidR="00E561D3" w:rsidRPr="007268A9">
        <w:t>H</w:t>
      </w:r>
      <w:r w:rsidR="00E561D3" w:rsidRPr="007268A9">
        <w:rPr>
          <w:vertAlign w:val="subscript"/>
        </w:rPr>
        <w:t>1</w:t>
      </w:r>
      <w:r w:rsidR="00E561D3" w:rsidRPr="007268A9">
        <w:t xml:space="preserve"> is </w:t>
      </w:r>
      <w:r w:rsidRPr="007268A9">
        <w:t>accepted</w:t>
      </w:r>
      <w:r w:rsidR="00E561D3" w:rsidRPr="007268A9">
        <w:t xml:space="preserve">. The </w:t>
      </w:r>
      <w:r w:rsidRPr="007268A9">
        <w:t xml:space="preserve">average posttest learning outcomes of </w:t>
      </w:r>
      <w:r w:rsidR="00E561D3" w:rsidRPr="007268A9">
        <w:t>the s</w:t>
      </w:r>
      <w:r w:rsidRPr="007268A9">
        <w:t>tudents is more than the KKM value.</w:t>
      </w:r>
    </w:p>
    <w:p w14:paraId="4CBB86E4" w14:textId="51FD51A6" w:rsidR="00E561D3" w:rsidRPr="007268A9" w:rsidRDefault="00E561D3" w:rsidP="00E561D3">
      <w:pPr>
        <w:pStyle w:val="Paragraph"/>
      </w:pPr>
      <w:r w:rsidRPr="007268A9">
        <w:t xml:space="preserve">The completeness of the students’ learning after being taught using the learning packages reach a significant level 0,05 with the value </w:t>
      </w:r>
      <w:proofErr w:type="gramStart"/>
      <w:r w:rsidRPr="007268A9">
        <w:t>z(</w:t>
      </w:r>
      <w:proofErr w:type="gramEnd"/>
      <w:r w:rsidRPr="007268A9">
        <w:t>0,5-0,05) = z0,45 = 1,64. Meanwhile, the z-count =2,0125 ≥ z0,45 = 1,64 implying that H</w:t>
      </w:r>
      <w:r w:rsidRPr="007268A9">
        <w:rPr>
          <w:vertAlign w:val="subscript"/>
        </w:rPr>
        <w:t>0</w:t>
      </w:r>
      <w:r w:rsidRPr="007268A9">
        <w:t xml:space="preserve"> is rejected and H</w:t>
      </w:r>
      <w:r w:rsidRPr="007268A9">
        <w:rPr>
          <w:vertAlign w:val="subscript"/>
        </w:rPr>
        <w:t>1</w:t>
      </w:r>
      <w:r w:rsidRPr="007268A9">
        <w:t xml:space="preserve"> is accepted so that it can be withdrawn a conclusion that the mastery of learning mathematics classically in statistics reached 79.9% of the total number who took the test.</w:t>
      </w:r>
    </w:p>
    <w:p w14:paraId="0618242C" w14:textId="6750904C" w:rsidR="00B85142" w:rsidRPr="007268A9" w:rsidRDefault="00E561D3" w:rsidP="00237F1D">
      <w:pPr>
        <w:pStyle w:val="Paragraph"/>
      </w:pPr>
      <w:r w:rsidRPr="007268A9">
        <w:t xml:space="preserve">The average </w:t>
      </w:r>
      <w:r w:rsidR="00546DE6" w:rsidRPr="007268A9">
        <w:t xml:space="preserve">of the </w:t>
      </w:r>
      <w:r w:rsidRPr="007268A9">
        <w:t xml:space="preserve">normalized gain of students after being taught using </w:t>
      </w:r>
      <w:r w:rsidR="00546DE6" w:rsidRPr="007268A9">
        <w:t>the learning packages</w:t>
      </w:r>
      <w:r w:rsidRPr="007268A9">
        <w:t xml:space="preserve"> </w:t>
      </w:r>
      <w:r w:rsidR="00546DE6" w:rsidRPr="007268A9">
        <w:t xml:space="preserve">obtain the </w:t>
      </w:r>
      <w:r w:rsidRPr="007268A9">
        <w:t>value of p(sig.2-tailed) is 0,000 &lt; 0,05 show</w:t>
      </w:r>
      <w:r w:rsidR="00546DE6" w:rsidRPr="007268A9">
        <w:t>ing</w:t>
      </w:r>
      <w:r w:rsidRPr="007268A9">
        <w:t xml:space="preserve"> the average</w:t>
      </w:r>
      <w:r w:rsidR="00546DE6" w:rsidRPr="007268A9">
        <w:t xml:space="preserve"> of the</w:t>
      </w:r>
      <w:r w:rsidRPr="007268A9">
        <w:t xml:space="preserve"> normalized gain </w:t>
      </w:r>
      <w:r w:rsidR="00546DE6" w:rsidRPr="007268A9">
        <w:t>is</w:t>
      </w:r>
      <w:r w:rsidRPr="007268A9">
        <w:t xml:space="preserve"> more than 0.29. </w:t>
      </w:r>
      <w:r w:rsidR="004C0B1B" w:rsidRPr="007268A9">
        <w:t>It</w:t>
      </w:r>
      <w:r w:rsidRPr="007268A9">
        <w:t xml:space="preserve"> shows that the gain index is 0.7. This means index gain is in the interval g ≥ 0,7</w:t>
      </w:r>
      <w:r w:rsidR="004C0B1B" w:rsidRPr="007268A9">
        <w:t>0</w:t>
      </w:r>
      <w:r w:rsidRPr="007268A9">
        <w:t>, which means that H</w:t>
      </w:r>
      <w:r w:rsidRPr="007268A9">
        <w:rPr>
          <w:vertAlign w:val="subscript"/>
        </w:rPr>
        <w:t>0</w:t>
      </w:r>
      <w:r w:rsidRPr="007268A9">
        <w:t xml:space="preserve"> is rejected and H</w:t>
      </w:r>
      <w:r w:rsidRPr="007268A9">
        <w:rPr>
          <w:vertAlign w:val="subscript"/>
        </w:rPr>
        <w:t>1</w:t>
      </w:r>
      <w:r w:rsidRPr="007268A9">
        <w:t xml:space="preserve"> is accepted, namely the normalized gain of student</w:t>
      </w:r>
      <w:r w:rsidR="004C0B1B" w:rsidRPr="007268A9">
        <w:t>s’ score</w:t>
      </w:r>
      <w:r w:rsidR="00237F1D" w:rsidRPr="007268A9">
        <w:t>s</w:t>
      </w:r>
      <w:r w:rsidRPr="007268A9">
        <w:t xml:space="preserve"> is in the category high</w:t>
      </w:r>
      <w:bookmarkEnd w:id="1"/>
      <w:r w:rsidR="00237F1D" w:rsidRPr="007268A9">
        <w:t xml:space="preserve">. </w:t>
      </w:r>
    </w:p>
    <w:p w14:paraId="7323A7DE" w14:textId="22387519" w:rsidR="006F6204" w:rsidRPr="006F6204" w:rsidRDefault="006F6204" w:rsidP="006F6204">
      <w:pPr>
        <w:pStyle w:val="Paragraph"/>
        <w:rPr>
          <w:color w:val="FF0000"/>
        </w:rPr>
      </w:pPr>
      <w:r w:rsidRPr="007268A9">
        <w:t xml:space="preserve">Thus, </w:t>
      </w:r>
      <w:r w:rsidR="007268A9" w:rsidRPr="007268A9">
        <w:t xml:space="preserve">from these indicator satisfactions, </w:t>
      </w:r>
      <w:r w:rsidRPr="007268A9">
        <w:t>it can be concluded that the application of the learning packages is effective in improving the abilities of the students in solving mathematics computational problems</w:t>
      </w:r>
      <w:r w:rsidRPr="006F6204">
        <w:rPr>
          <w:color w:val="FF0000"/>
        </w:rPr>
        <w:t>.</w:t>
      </w:r>
    </w:p>
    <w:p w14:paraId="39EBD2A1" w14:textId="77777777" w:rsidR="006F6204" w:rsidRPr="006F6204" w:rsidRDefault="006F6204" w:rsidP="006F6204">
      <w:pPr>
        <w:pStyle w:val="Paragraph"/>
        <w:rPr>
          <w:color w:val="FF0000"/>
        </w:rPr>
      </w:pPr>
    </w:p>
    <w:p w14:paraId="4223A892" w14:textId="77777777" w:rsidR="00BA3B3D" w:rsidRPr="00075EA6" w:rsidRDefault="00BA3B3D" w:rsidP="000F15FF">
      <w:pPr>
        <w:pStyle w:val="Paragraph"/>
        <w:ind w:firstLine="0"/>
      </w:pPr>
    </w:p>
    <w:p w14:paraId="6C1CB0F5" w14:textId="1839DD46" w:rsidR="007268A9" w:rsidRDefault="00D87E2A" w:rsidP="007268A9">
      <w:pPr>
        <w:pStyle w:val="Heading1"/>
        <w:rPr>
          <w:rFonts w:asciiTheme="majorBidi" w:hAnsiTheme="majorBidi" w:cstheme="majorBidi"/>
        </w:rPr>
      </w:pPr>
      <w:r>
        <w:rPr>
          <w:rFonts w:asciiTheme="majorBidi" w:hAnsiTheme="majorBidi" w:cstheme="majorBidi"/>
        </w:rPr>
        <w:lastRenderedPageBreak/>
        <w:t>CONCLUSION</w:t>
      </w:r>
    </w:p>
    <w:p w14:paraId="7EEA8F68" w14:textId="34BB4865" w:rsidR="007268A9" w:rsidRPr="007268A9" w:rsidRDefault="007268A9" w:rsidP="007268A9">
      <w:pPr>
        <w:pStyle w:val="Paragraph"/>
      </w:pPr>
      <w:r>
        <w:t xml:space="preserve">This study aims to know the effectiveness of the learning packages integrated computational thinking skills </w:t>
      </w:r>
      <w:r w:rsidR="0091619A">
        <w:t xml:space="preserve">on </w:t>
      </w:r>
      <w:r w:rsidR="007162E0" w:rsidRPr="007162E0">
        <w:t>elementary school students’ abilities in thinking computationally and solving mathematics computational problems</w:t>
      </w:r>
      <w:r w:rsidR="007162E0">
        <w:t xml:space="preserve">. Based on several indicators, it is found that the learning packages </w:t>
      </w:r>
      <w:r w:rsidR="007E428C">
        <w:t xml:space="preserve">which consist of book, lesson plan, student worksheet, and mathematics computational thinking test are effective to use to improve </w:t>
      </w:r>
      <w:r w:rsidR="007E428C" w:rsidRPr="007162E0">
        <w:t>students’ abilities in thinking computationally and solving mathematics computational problems</w:t>
      </w:r>
      <w:r w:rsidR="007E428C">
        <w:t>.</w:t>
      </w:r>
    </w:p>
    <w:p w14:paraId="4F4EA3E3" w14:textId="3A98EFF2" w:rsidR="000B3A2D" w:rsidRPr="00075EA6" w:rsidRDefault="00D87E2A" w:rsidP="007268A9">
      <w:pPr>
        <w:pStyle w:val="Heading1"/>
        <w:jc w:val="left"/>
        <w:rPr>
          <w:rFonts w:asciiTheme="majorBidi" w:hAnsiTheme="majorBidi" w:cstheme="majorBidi"/>
        </w:rPr>
      </w:pPr>
      <w:r>
        <w:rPr>
          <w:rFonts w:asciiTheme="majorBidi" w:hAnsiTheme="majorBidi" w:cstheme="majorBidi"/>
        </w:rPr>
        <w:br/>
      </w:r>
    </w:p>
    <w:p w14:paraId="16F21B4D" w14:textId="77777777"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2F11A553" w:rsidR="003A61B1" w:rsidRPr="00075EA6" w:rsidRDefault="0032611D" w:rsidP="00AE7500">
      <w:pPr>
        <w:pStyle w:val="Reference"/>
      </w:pPr>
      <w:proofErr w:type="spellStart"/>
      <w:r w:rsidRPr="0032611D">
        <w:t>Mohaghegh</w:t>
      </w:r>
      <w:proofErr w:type="spellEnd"/>
      <w:r w:rsidRPr="0032611D">
        <w:t xml:space="preserve">, D. M., &amp; McCauley, M. (2016). Computational thinking: The skill set of the 21st </w:t>
      </w:r>
      <w:proofErr w:type="gramStart"/>
      <w:r w:rsidRPr="0032611D">
        <w:t>century.</w:t>
      </w:r>
      <w:r w:rsidR="003A61B1" w:rsidRPr="00075EA6">
        <w:t>.</w:t>
      </w:r>
      <w:proofErr w:type="gramEnd"/>
      <w:r w:rsidR="003A61B1" w:rsidRPr="00075EA6">
        <w:t xml:space="preserve"> </w:t>
      </w:r>
    </w:p>
    <w:p w14:paraId="0D27C17A" w14:textId="295DE094" w:rsidR="00BB48C7" w:rsidRDefault="00BB48C7" w:rsidP="00AE7500">
      <w:pPr>
        <w:pStyle w:val="Reference"/>
      </w:pPr>
      <w:proofErr w:type="spellStart"/>
      <w:r w:rsidRPr="00BB48C7">
        <w:t>Kalelioglu</w:t>
      </w:r>
      <w:proofErr w:type="spellEnd"/>
      <w:r w:rsidRPr="00BB48C7">
        <w:t xml:space="preserve">, F., Gulbahar, Y., &amp; </w:t>
      </w:r>
      <w:proofErr w:type="spellStart"/>
      <w:r w:rsidRPr="00BB48C7">
        <w:t>Kukul</w:t>
      </w:r>
      <w:proofErr w:type="spellEnd"/>
      <w:r w:rsidRPr="00BB48C7">
        <w:t>, V. (2016). A framework for computational thinking based on a systematic research review.</w:t>
      </w:r>
    </w:p>
    <w:p w14:paraId="4FC5FC1D" w14:textId="0081C323" w:rsidR="0032611D" w:rsidRDefault="0032611D" w:rsidP="00AE7500">
      <w:pPr>
        <w:pStyle w:val="Reference"/>
      </w:pPr>
      <w:r w:rsidRPr="0032611D">
        <w:t>Adler, R. F., &amp; Kim, H. (2018). Enhancing future K-8 teachers’ computational thinking skills through modeling and simulations. Education and Information Technologies, 23(4), 1501-1514.</w:t>
      </w:r>
    </w:p>
    <w:p w14:paraId="4C17DEBB" w14:textId="5047EDFD" w:rsidR="003A61B1" w:rsidRPr="00075EA6" w:rsidRDefault="0032611D" w:rsidP="00AE7500">
      <w:pPr>
        <w:pStyle w:val="Reference"/>
      </w:pPr>
      <w:proofErr w:type="spellStart"/>
      <w:r w:rsidRPr="0032611D">
        <w:t>Rambally</w:t>
      </w:r>
      <w:proofErr w:type="spellEnd"/>
      <w:r w:rsidRPr="0032611D">
        <w:t>, G. (2017). Integrating computational thinking in discrete structures. In Emerging research, practice, and policy on computational thinking (pp. 99-119). Springer, Cham</w:t>
      </w:r>
      <w:r w:rsidR="003A61B1" w:rsidRPr="00075EA6">
        <w:t>.</w:t>
      </w:r>
    </w:p>
    <w:p w14:paraId="4AC8895E" w14:textId="479C58FB" w:rsidR="003A61B1" w:rsidRPr="00075EA6" w:rsidRDefault="0032611D" w:rsidP="00AE7500">
      <w:pPr>
        <w:pStyle w:val="Reference"/>
      </w:pPr>
      <w:proofErr w:type="spellStart"/>
      <w:r w:rsidRPr="0032611D">
        <w:t>Juškevičienė</w:t>
      </w:r>
      <w:proofErr w:type="spellEnd"/>
      <w:r w:rsidRPr="0032611D">
        <w:t xml:space="preserve">, A., &amp; </w:t>
      </w:r>
      <w:proofErr w:type="spellStart"/>
      <w:r w:rsidRPr="0032611D">
        <w:t>DagienĖ</w:t>
      </w:r>
      <w:proofErr w:type="spellEnd"/>
      <w:r w:rsidRPr="0032611D">
        <w:t>, V. (2018). Computational thinking relationship with digital competence. Informatics in Education, 17(2), 265-</w:t>
      </w:r>
      <w:proofErr w:type="gramStart"/>
      <w:r w:rsidRPr="0032611D">
        <w:t>284.</w:t>
      </w:r>
      <w:r w:rsidR="003A61B1" w:rsidRPr="00075EA6">
        <w:t>.</w:t>
      </w:r>
      <w:proofErr w:type="gramEnd"/>
    </w:p>
    <w:p w14:paraId="4DE91CCB" w14:textId="725EB530" w:rsidR="00326AE0" w:rsidRPr="00114AB1" w:rsidRDefault="00BB48C7" w:rsidP="00C36CAD">
      <w:pPr>
        <w:pStyle w:val="Reference"/>
      </w:pPr>
      <w:r w:rsidRPr="00BB48C7">
        <w:t xml:space="preserve">Ihsan, H., </w:t>
      </w:r>
      <w:proofErr w:type="spellStart"/>
      <w:r w:rsidRPr="00BB48C7">
        <w:t>Arwadi</w:t>
      </w:r>
      <w:proofErr w:type="spellEnd"/>
      <w:r w:rsidRPr="00BB48C7">
        <w:t xml:space="preserve">, F., &amp; </w:t>
      </w:r>
      <w:proofErr w:type="spellStart"/>
      <w:r w:rsidRPr="00BB48C7">
        <w:t>Sutamrin</w:t>
      </w:r>
      <w:proofErr w:type="spellEnd"/>
      <w:r w:rsidRPr="00BB48C7">
        <w:t xml:space="preserve">, S. (2022, April). The Elementary Education Assessment and Learning Integrated 21st Century-Computational Thinking Skills in Mathematics: Global Design Stage. In 1st World Conference on Social and Humanities Research (W-SHARE 2021) (pp. 6-9). Atlantis Press. </w:t>
      </w: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1638028169">
    <w:abstractNumId w:val="15"/>
  </w:num>
  <w:num w:numId="2" w16cid:durableId="1141845163">
    <w:abstractNumId w:val="3"/>
  </w:num>
  <w:num w:numId="3" w16cid:durableId="1261992013">
    <w:abstractNumId w:val="12"/>
  </w:num>
  <w:num w:numId="4" w16cid:durableId="924193459">
    <w:abstractNumId w:val="7"/>
  </w:num>
  <w:num w:numId="5" w16cid:durableId="1226834470">
    <w:abstractNumId w:val="11"/>
  </w:num>
  <w:num w:numId="6" w16cid:durableId="187375630">
    <w:abstractNumId w:val="4"/>
  </w:num>
  <w:num w:numId="7" w16cid:durableId="632716049">
    <w:abstractNumId w:val="6"/>
  </w:num>
  <w:num w:numId="8" w16cid:durableId="630326183">
    <w:abstractNumId w:val="1"/>
  </w:num>
  <w:num w:numId="9" w16cid:durableId="975140642">
    <w:abstractNumId w:val="14"/>
  </w:num>
  <w:num w:numId="10" w16cid:durableId="379868626">
    <w:abstractNumId w:val="9"/>
  </w:num>
  <w:num w:numId="11" w16cid:durableId="705254260">
    <w:abstractNumId w:val="13"/>
  </w:num>
  <w:num w:numId="12" w16cid:durableId="744492987">
    <w:abstractNumId w:val="10"/>
  </w:num>
  <w:num w:numId="13" w16cid:durableId="108666437">
    <w:abstractNumId w:val="5"/>
  </w:num>
  <w:num w:numId="14" w16cid:durableId="774055700">
    <w:abstractNumId w:val="14"/>
  </w:num>
  <w:num w:numId="15" w16cid:durableId="2092581718">
    <w:abstractNumId w:val="8"/>
  </w:num>
  <w:num w:numId="16" w16cid:durableId="1242759203">
    <w:abstractNumId w:val="5"/>
  </w:num>
  <w:num w:numId="17" w16cid:durableId="860121242">
    <w:abstractNumId w:val="5"/>
  </w:num>
  <w:num w:numId="18" w16cid:durableId="60492297">
    <w:abstractNumId w:val="5"/>
  </w:num>
  <w:num w:numId="19" w16cid:durableId="1175653176">
    <w:abstractNumId w:val="5"/>
  </w:num>
  <w:num w:numId="20" w16cid:durableId="1138760296">
    <w:abstractNumId w:val="5"/>
  </w:num>
  <w:num w:numId="21" w16cid:durableId="2007826659">
    <w:abstractNumId w:val="5"/>
  </w:num>
  <w:num w:numId="22" w16cid:durableId="382213145">
    <w:abstractNumId w:val="5"/>
  </w:num>
  <w:num w:numId="23" w16cid:durableId="1688286619">
    <w:abstractNumId w:val="5"/>
  </w:num>
  <w:num w:numId="24" w16cid:durableId="1843817306">
    <w:abstractNumId w:val="5"/>
  </w:num>
  <w:num w:numId="25" w16cid:durableId="710617839">
    <w:abstractNumId w:val="5"/>
  </w:num>
  <w:num w:numId="26" w16cid:durableId="977222046">
    <w:abstractNumId w:val="5"/>
  </w:num>
  <w:num w:numId="27" w16cid:durableId="465125997">
    <w:abstractNumId w:val="5"/>
  </w:num>
  <w:num w:numId="28" w16cid:durableId="168495284">
    <w:abstractNumId w:val="5"/>
  </w:num>
  <w:num w:numId="29" w16cid:durableId="2013529641">
    <w:abstractNumId w:val="11"/>
  </w:num>
  <w:num w:numId="30" w16cid:durableId="585462800">
    <w:abstractNumId w:val="11"/>
  </w:num>
  <w:num w:numId="31" w16cid:durableId="1344942014">
    <w:abstractNumId w:val="11"/>
    <w:lvlOverride w:ilvl="0">
      <w:startOverride w:val="1"/>
    </w:lvlOverride>
  </w:num>
  <w:num w:numId="32" w16cid:durableId="1538542025">
    <w:abstractNumId w:val="11"/>
  </w:num>
  <w:num w:numId="33" w16cid:durableId="1299798169">
    <w:abstractNumId w:val="11"/>
    <w:lvlOverride w:ilvl="0">
      <w:startOverride w:val="1"/>
    </w:lvlOverride>
  </w:num>
  <w:num w:numId="34" w16cid:durableId="555746305">
    <w:abstractNumId w:val="11"/>
    <w:lvlOverride w:ilvl="0">
      <w:startOverride w:val="1"/>
    </w:lvlOverride>
  </w:num>
  <w:num w:numId="35" w16cid:durableId="2131582408">
    <w:abstractNumId w:val="12"/>
    <w:lvlOverride w:ilvl="0">
      <w:startOverride w:val="1"/>
    </w:lvlOverride>
  </w:num>
  <w:num w:numId="36" w16cid:durableId="91629471">
    <w:abstractNumId w:val="12"/>
  </w:num>
  <w:num w:numId="37" w16cid:durableId="2022470609">
    <w:abstractNumId w:val="12"/>
    <w:lvlOverride w:ilvl="0">
      <w:startOverride w:val="1"/>
    </w:lvlOverride>
  </w:num>
  <w:num w:numId="38" w16cid:durableId="39981501">
    <w:abstractNumId w:val="12"/>
  </w:num>
  <w:num w:numId="39" w16cid:durableId="320886631">
    <w:abstractNumId w:val="12"/>
    <w:lvlOverride w:ilvl="0">
      <w:startOverride w:val="1"/>
    </w:lvlOverride>
  </w:num>
  <w:num w:numId="40" w16cid:durableId="174000719">
    <w:abstractNumId w:val="12"/>
    <w:lvlOverride w:ilvl="0">
      <w:startOverride w:val="1"/>
    </w:lvlOverride>
  </w:num>
  <w:num w:numId="41" w16cid:durableId="505099244">
    <w:abstractNumId w:val="12"/>
    <w:lvlOverride w:ilvl="0">
      <w:startOverride w:val="1"/>
    </w:lvlOverride>
  </w:num>
  <w:num w:numId="42" w16cid:durableId="298610877">
    <w:abstractNumId w:val="12"/>
  </w:num>
  <w:num w:numId="43" w16cid:durableId="1095712768">
    <w:abstractNumId w:val="12"/>
  </w:num>
  <w:num w:numId="44" w16cid:durableId="1274484596">
    <w:abstractNumId w:val="2"/>
  </w:num>
  <w:num w:numId="45" w16cid:durableId="36441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97067"/>
    <w:rsid w:val="000B1B74"/>
    <w:rsid w:val="000B3A2D"/>
    <w:rsid w:val="000B49C0"/>
    <w:rsid w:val="000D1B87"/>
    <w:rsid w:val="000E382F"/>
    <w:rsid w:val="000E75CD"/>
    <w:rsid w:val="000F15FF"/>
    <w:rsid w:val="000F2EF3"/>
    <w:rsid w:val="001036BA"/>
    <w:rsid w:val="001146DC"/>
    <w:rsid w:val="00114AB1"/>
    <w:rsid w:val="001230FF"/>
    <w:rsid w:val="00130BD7"/>
    <w:rsid w:val="00151CD2"/>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37F1D"/>
    <w:rsid w:val="002502FD"/>
    <w:rsid w:val="00274622"/>
    <w:rsid w:val="00285D24"/>
    <w:rsid w:val="00286A5E"/>
    <w:rsid w:val="00290390"/>
    <w:rsid w:val="002915D3"/>
    <w:rsid w:val="002924DB"/>
    <w:rsid w:val="002941DA"/>
    <w:rsid w:val="002B5648"/>
    <w:rsid w:val="002E3C35"/>
    <w:rsid w:val="002F5298"/>
    <w:rsid w:val="0032611D"/>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956C9"/>
    <w:rsid w:val="004B151D"/>
    <w:rsid w:val="004C0B1B"/>
    <w:rsid w:val="004C7243"/>
    <w:rsid w:val="004E21DE"/>
    <w:rsid w:val="004E3C57"/>
    <w:rsid w:val="004E3CB2"/>
    <w:rsid w:val="004E5CCE"/>
    <w:rsid w:val="00525813"/>
    <w:rsid w:val="0053513F"/>
    <w:rsid w:val="00546DE6"/>
    <w:rsid w:val="00574405"/>
    <w:rsid w:val="005854B0"/>
    <w:rsid w:val="00597CB5"/>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6F6204"/>
    <w:rsid w:val="00701388"/>
    <w:rsid w:val="007162E0"/>
    <w:rsid w:val="00723B7F"/>
    <w:rsid w:val="00723C1A"/>
    <w:rsid w:val="00725861"/>
    <w:rsid w:val="007268A9"/>
    <w:rsid w:val="0073393A"/>
    <w:rsid w:val="0073539D"/>
    <w:rsid w:val="007358BD"/>
    <w:rsid w:val="00767B8A"/>
    <w:rsid w:val="00775481"/>
    <w:rsid w:val="007A233B"/>
    <w:rsid w:val="007B4863"/>
    <w:rsid w:val="007C65E6"/>
    <w:rsid w:val="007D406B"/>
    <w:rsid w:val="007D4407"/>
    <w:rsid w:val="007E1CA3"/>
    <w:rsid w:val="007E428C"/>
    <w:rsid w:val="00802D97"/>
    <w:rsid w:val="00812D62"/>
    <w:rsid w:val="00812F29"/>
    <w:rsid w:val="00821713"/>
    <w:rsid w:val="00827050"/>
    <w:rsid w:val="0083278B"/>
    <w:rsid w:val="00834538"/>
    <w:rsid w:val="00850E89"/>
    <w:rsid w:val="00867ED0"/>
    <w:rsid w:val="008930E4"/>
    <w:rsid w:val="00893821"/>
    <w:rsid w:val="008A7B9C"/>
    <w:rsid w:val="008B39FA"/>
    <w:rsid w:val="008B4754"/>
    <w:rsid w:val="008E5B11"/>
    <w:rsid w:val="008E6A7A"/>
    <w:rsid w:val="008F1038"/>
    <w:rsid w:val="008F7046"/>
    <w:rsid w:val="009005FC"/>
    <w:rsid w:val="0091619A"/>
    <w:rsid w:val="00922E5A"/>
    <w:rsid w:val="00943315"/>
    <w:rsid w:val="00946C27"/>
    <w:rsid w:val="009536AD"/>
    <w:rsid w:val="009A4F3D"/>
    <w:rsid w:val="009A5709"/>
    <w:rsid w:val="009B696B"/>
    <w:rsid w:val="009B7671"/>
    <w:rsid w:val="009E220D"/>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85142"/>
    <w:rsid w:val="00BA39BB"/>
    <w:rsid w:val="00BA3B3D"/>
    <w:rsid w:val="00BB48C7"/>
    <w:rsid w:val="00BB49AD"/>
    <w:rsid w:val="00BB7EEA"/>
    <w:rsid w:val="00BD1909"/>
    <w:rsid w:val="00BE5E16"/>
    <w:rsid w:val="00BE5FD1"/>
    <w:rsid w:val="00BF3A77"/>
    <w:rsid w:val="00C06E05"/>
    <w:rsid w:val="00C14B14"/>
    <w:rsid w:val="00C17370"/>
    <w:rsid w:val="00C2054D"/>
    <w:rsid w:val="00C252EB"/>
    <w:rsid w:val="00C26EC0"/>
    <w:rsid w:val="00C36CAD"/>
    <w:rsid w:val="00C56C77"/>
    <w:rsid w:val="00C84923"/>
    <w:rsid w:val="00C95E9B"/>
    <w:rsid w:val="00CB7B3E"/>
    <w:rsid w:val="00CC739D"/>
    <w:rsid w:val="00CE1ADB"/>
    <w:rsid w:val="00D01ED9"/>
    <w:rsid w:val="00D04468"/>
    <w:rsid w:val="00D36257"/>
    <w:rsid w:val="00D4687E"/>
    <w:rsid w:val="00D53A12"/>
    <w:rsid w:val="00D6765F"/>
    <w:rsid w:val="00D87E2A"/>
    <w:rsid w:val="00DA2EE6"/>
    <w:rsid w:val="00DB0C43"/>
    <w:rsid w:val="00DD112B"/>
    <w:rsid w:val="00DE3354"/>
    <w:rsid w:val="00DF7DCD"/>
    <w:rsid w:val="00E50B7D"/>
    <w:rsid w:val="00E561D3"/>
    <w:rsid w:val="00E627B9"/>
    <w:rsid w:val="00E904A1"/>
    <w:rsid w:val="00EB7D28"/>
    <w:rsid w:val="00EC0D0C"/>
    <w:rsid w:val="00ED4A2C"/>
    <w:rsid w:val="00EF6940"/>
    <w:rsid w:val="00F2044A"/>
    <w:rsid w:val="00F20BFC"/>
    <w:rsid w:val="00F20F73"/>
    <w:rsid w:val="00F24D5F"/>
    <w:rsid w:val="00F726C3"/>
    <w:rsid w:val="00F820CA"/>
    <w:rsid w:val="00F8554C"/>
    <w:rsid w:val="00F95F82"/>
    <w:rsid w:val="00F97A90"/>
    <w:rsid w:val="00FC2F35"/>
    <w:rsid w:val="00FC3FD7"/>
    <w:rsid w:val="00FD1FC6"/>
    <w:rsid w:val="00FE5869"/>
    <w:rsid w:val="00FE6B0C"/>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3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markedcontent">
    <w:name w:val="markedcontent"/>
    <w:basedOn w:val="DefaultParagraphFont"/>
    <w:rsid w:val="00DD112B"/>
  </w:style>
  <w:style w:type="character" w:customStyle="1" w:styleId="q4iawc">
    <w:name w:val="q4iawc"/>
    <w:basedOn w:val="DefaultParagraphFont"/>
    <w:rsid w:val="00D01ED9"/>
  </w:style>
  <w:style w:type="character" w:styleId="PlaceholderText">
    <w:name w:val="Placeholder Text"/>
    <w:basedOn w:val="DefaultParagraphFont"/>
    <w:uiPriority w:val="99"/>
    <w:semiHidden/>
    <w:rsid w:val="00BB49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fajar.arwadi53@unm.ac.id" TargetMode="External"/><Relationship Id="rId4" Type="http://schemas.openxmlformats.org/officeDocument/2006/relationships/customXml" Target="../customXml/item4.xml"/><Relationship Id="rId9" Type="http://schemas.openxmlformats.org/officeDocument/2006/relationships/hyperlink" Target="mailto:hisyamihsan@unm.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214</TotalTime>
  <Pages>4</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HP</cp:lastModifiedBy>
  <cp:revision>16</cp:revision>
  <cp:lastPrinted>2011-03-03T08:29:00Z</cp:lastPrinted>
  <dcterms:created xsi:type="dcterms:W3CDTF">2020-12-11T14:06:00Z</dcterms:created>
  <dcterms:modified xsi:type="dcterms:W3CDTF">2022-10-21T12:55:00Z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