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5FCAA" w14:textId="77777777" w:rsidR="000E4278" w:rsidRPr="00197956" w:rsidRDefault="005A359C" w:rsidP="00C2663C">
      <w:pPr>
        <w:pStyle w:val="PythagorasNormal"/>
        <w:rPr>
          <w:rFonts w:cstheme="minorHAnsi"/>
        </w:rPr>
      </w:pPr>
      <w:r w:rsidRPr="005A359C">
        <w:rPr>
          <w:rFonts w:cstheme="minorHAnsi"/>
          <w:b/>
          <w:bCs/>
          <w:sz w:val="26"/>
          <w:szCs w:val="26"/>
        </w:rPr>
        <w:t>Can Emotional Intelligence in Mathematics Learning be Improved Through the TPS Model? Literature Review</w:t>
      </w:r>
    </w:p>
    <w:p w14:paraId="4E5AF2EE" w14:textId="77777777" w:rsidR="00DE4944" w:rsidRPr="00197956" w:rsidRDefault="00865748" w:rsidP="00675F0E">
      <w:pPr>
        <w:pStyle w:val="Pythagoras2Author"/>
        <w:rPr>
          <w:rFonts w:cstheme="minorHAnsi"/>
        </w:rPr>
      </w:pPr>
      <w:r w:rsidRPr="00197956">
        <w:rPr>
          <w:rFonts w:cstheme="minorHAnsi"/>
          <w:lang w:val="en-US"/>
        </w:rPr>
        <w:t>Siti Zahra Zahrona</w:t>
      </w:r>
      <w:r w:rsidR="00DE4944" w:rsidRPr="00197956">
        <w:rPr>
          <w:rFonts w:cstheme="minorHAnsi"/>
        </w:rPr>
        <w:t xml:space="preserve"> </w:t>
      </w:r>
      <w:r w:rsidR="00DE4944" w:rsidRPr="00197956">
        <w:rPr>
          <w:rFonts w:cstheme="minorHAnsi"/>
          <w:vertAlign w:val="superscript"/>
        </w:rPr>
        <w:t>1*</w:t>
      </w:r>
      <w:r w:rsidR="00F267D3" w:rsidRPr="00197956">
        <w:rPr>
          <w:rFonts w:cstheme="minorHAnsi"/>
        </w:rPr>
        <w:t xml:space="preserve"> </w:t>
      </w:r>
      <w:r w:rsidR="00F267D3" w:rsidRPr="00197956">
        <w:rPr>
          <w:rFonts w:cstheme="minorHAnsi"/>
          <w:noProof/>
          <w:lang w:val="en-US"/>
        </w:rPr>
        <w:drawing>
          <wp:inline distT="0" distB="0" distL="0" distR="0" wp14:anchorId="1CBF5423" wp14:editId="730B8626">
            <wp:extent cx="144000" cy="144000"/>
            <wp:effectExtent l="0" t="0" r="8890" b="8890"/>
            <wp:docPr id="22" name="Resim 2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cid.png"/>
                    <pic:cNvPicPr/>
                  </pic:nvPicPr>
                  <pic:blipFill>
                    <a:blip r:embed="rId9">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inline>
        </w:drawing>
      </w:r>
      <w:r w:rsidR="00DE4944" w:rsidRPr="00197956">
        <w:rPr>
          <w:rFonts w:cstheme="minorHAnsi"/>
        </w:rPr>
        <w:t>,</w:t>
      </w:r>
      <w:r w:rsidR="00B7756C" w:rsidRPr="00197956">
        <w:rPr>
          <w:rFonts w:cstheme="minorHAnsi"/>
        </w:rPr>
        <w:t xml:space="preserve"> </w:t>
      </w:r>
      <w:r w:rsidR="00B7756C" w:rsidRPr="00197956">
        <w:rPr>
          <w:rFonts w:cstheme="minorHAnsi"/>
          <w:lang w:val="en-US"/>
        </w:rPr>
        <w:t>Djamilah Bondan Widjajanti</w:t>
      </w:r>
      <w:r w:rsidR="00DE4944" w:rsidRPr="00197956">
        <w:rPr>
          <w:rFonts w:cstheme="minorHAnsi"/>
        </w:rPr>
        <w:t xml:space="preserve"> </w:t>
      </w:r>
      <w:r w:rsidR="005E4143" w:rsidRPr="00197956">
        <w:rPr>
          <w:rFonts w:cstheme="minorHAnsi"/>
          <w:vertAlign w:val="superscript"/>
        </w:rPr>
        <w:t>1</w:t>
      </w:r>
      <w:r w:rsidR="00DE4944" w:rsidRPr="00197956">
        <w:rPr>
          <w:rFonts w:cstheme="minorHAnsi"/>
        </w:rPr>
        <w:t xml:space="preserve"> </w:t>
      </w:r>
    </w:p>
    <w:p w14:paraId="122660E4" w14:textId="77777777" w:rsidR="00572390" w:rsidRPr="00197956" w:rsidRDefault="00DE4944" w:rsidP="00C2663C">
      <w:pPr>
        <w:pStyle w:val="Pythagoras3AfiliasiAuthor"/>
        <w:rPr>
          <w:rFonts w:cstheme="minorHAnsi"/>
        </w:rPr>
      </w:pPr>
      <w:r w:rsidRPr="00197956">
        <w:rPr>
          <w:rFonts w:cstheme="minorHAnsi"/>
          <w:vertAlign w:val="superscript"/>
        </w:rPr>
        <w:t>1</w:t>
      </w:r>
      <w:r w:rsidR="00ED0EAD" w:rsidRPr="00197956">
        <w:rPr>
          <w:rFonts w:cstheme="minorHAnsi"/>
          <w:vertAlign w:val="superscript"/>
        </w:rPr>
        <w:t xml:space="preserve"> </w:t>
      </w:r>
      <w:r w:rsidR="00EB328C" w:rsidRPr="00197956">
        <w:rPr>
          <w:rFonts w:cstheme="minorHAnsi"/>
          <w:vertAlign w:val="superscript"/>
          <w:lang w:val="id-ID"/>
        </w:rPr>
        <w:t xml:space="preserve">  </w:t>
      </w:r>
      <w:r w:rsidR="005E4143" w:rsidRPr="00197956">
        <w:rPr>
          <w:rFonts w:cstheme="minorHAnsi"/>
        </w:rPr>
        <w:t>Program Study of Mathematics Education, Graduate School, Universitas Negeri Yogyakarta, Indonesia</w:t>
      </w:r>
    </w:p>
    <w:p w14:paraId="655FC8CB" w14:textId="77777777" w:rsidR="00DE4944" w:rsidRPr="00197956" w:rsidRDefault="00DE4944" w:rsidP="00B7756C">
      <w:pPr>
        <w:pStyle w:val="Pythagoras3AfiliasiAuthor"/>
        <w:rPr>
          <w:rFonts w:cstheme="minorHAnsi"/>
        </w:rPr>
      </w:pPr>
      <w:r w:rsidRPr="00197956">
        <w:rPr>
          <w:rFonts w:cstheme="minorHAnsi"/>
          <w:vertAlign w:val="superscript"/>
        </w:rPr>
        <w:t xml:space="preserve">2 </w:t>
      </w:r>
      <w:r w:rsidR="00EB328C" w:rsidRPr="00197956">
        <w:rPr>
          <w:rFonts w:cstheme="minorHAnsi"/>
          <w:vertAlign w:val="superscript"/>
          <w:lang w:val="id-ID"/>
        </w:rPr>
        <w:t xml:space="preserve">  </w:t>
      </w:r>
      <w:r w:rsidR="00ED0EAD" w:rsidRPr="00197956">
        <w:rPr>
          <w:rFonts w:cstheme="minorHAnsi"/>
        </w:rPr>
        <w:t>Departmen</w:t>
      </w:r>
      <w:r w:rsidR="00A453F0" w:rsidRPr="00197956">
        <w:rPr>
          <w:rFonts w:cstheme="minorHAnsi"/>
        </w:rPr>
        <w:t>t</w:t>
      </w:r>
      <w:r w:rsidR="00ED0EAD" w:rsidRPr="00197956">
        <w:rPr>
          <w:rFonts w:cstheme="minorHAnsi"/>
        </w:rPr>
        <w:t xml:space="preserve"> of Mathematics Education, </w:t>
      </w:r>
      <w:r w:rsidR="00B7756C" w:rsidRPr="00197956">
        <w:rPr>
          <w:rFonts w:cstheme="minorHAnsi"/>
        </w:rPr>
        <w:t>Universitas Negeri Yogyakarta, Indonesia</w:t>
      </w:r>
    </w:p>
    <w:p w14:paraId="26A6F5E7" w14:textId="77777777" w:rsidR="00DE4944" w:rsidRPr="00197956" w:rsidRDefault="00DE4944" w:rsidP="000C277C">
      <w:pPr>
        <w:pStyle w:val="Pythagoras4Korespondensi"/>
        <w:rPr>
          <w:rFonts w:cstheme="minorHAnsi"/>
        </w:rPr>
      </w:pPr>
      <w:r w:rsidRPr="00197956">
        <w:rPr>
          <w:rFonts w:cstheme="minorHAnsi"/>
        </w:rPr>
        <w:t>*</w:t>
      </w:r>
      <w:r w:rsidR="00EB328C" w:rsidRPr="00197956">
        <w:rPr>
          <w:rFonts w:cstheme="minorHAnsi"/>
          <w:lang w:val="id-ID"/>
        </w:rPr>
        <w:t xml:space="preserve"> Corresponding Author</w:t>
      </w:r>
      <w:r w:rsidRPr="00197956">
        <w:rPr>
          <w:rFonts w:cstheme="minorHAnsi"/>
        </w:rPr>
        <w:t>. E-mail:</w:t>
      </w:r>
      <w:r w:rsidR="005E4143" w:rsidRPr="00197956">
        <w:rPr>
          <w:rFonts w:cstheme="minorHAnsi"/>
        </w:rPr>
        <w:t xml:space="preserve"> </w:t>
      </w:r>
      <w:hyperlink r:id="rId10" w:history="1">
        <w:r w:rsidR="006E2E8B" w:rsidRPr="00197956">
          <w:rPr>
            <w:rStyle w:val="Hyperlink"/>
            <w:rFonts w:cstheme="minorHAnsi"/>
            <w:spacing w:val="-6"/>
            <w:sz w:val="20"/>
          </w:rPr>
          <w:t>sitizahra.2021@student.uny.ac.id</w:t>
        </w:r>
      </w:hyperlink>
      <w:r w:rsidR="006E2E8B" w:rsidRPr="00197956">
        <w:rPr>
          <w:rFonts w:cstheme="minorHAnsi"/>
        </w:rPr>
        <w:t xml:space="preserve"> </w:t>
      </w:r>
      <w:r w:rsidR="005E4143" w:rsidRPr="00197956">
        <w:rPr>
          <w:rFonts w:cstheme="minorHAnsi"/>
        </w:rPr>
        <w:t xml:space="preserve"> </w:t>
      </w:r>
    </w:p>
    <w:tbl>
      <w:tblPr>
        <w:tblStyle w:val="TableGrid"/>
        <w:tblW w:w="0" w:type="auto"/>
        <w:tblLayout w:type="fixed"/>
        <w:tblLook w:val="04A0" w:firstRow="1" w:lastRow="0" w:firstColumn="1" w:lastColumn="0" w:noHBand="0" w:noVBand="1"/>
      </w:tblPr>
      <w:tblGrid>
        <w:gridCol w:w="2127"/>
        <w:gridCol w:w="5811"/>
        <w:gridCol w:w="1134"/>
      </w:tblGrid>
      <w:tr w:rsidR="00DB0A56" w:rsidRPr="00197956" w14:paraId="49C5D609" w14:textId="77777777" w:rsidTr="000009A2">
        <w:tc>
          <w:tcPr>
            <w:tcW w:w="2127" w:type="dxa"/>
            <w:tcBorders>
              <w:top w:val="single" w:sz="12" w:space="0" w:color="800000"/>
              <w:left w:val="nil"/>
              <w:bottom w:val="single" w:sz="12" w:space="0" w:color="800000"/>
              <w:right w:val="nil"/>
            </w:tcBorders>
            <w:shd w:val="clear" w:color="auto" w:fill="auto"/>
          </w:tcPr>
          <w:p w14:paraId="6E3476CE" w14:textId="77777777" w:rsidR="008939B9" w:rsidRPr="00197956" w:rsidRDefault="0065244A" w:rsidP="00EB328C">
            <w:pPr>
              <w:pStyle w:val="PythagorasNormal"/>
              <w:ind w:left="-85"/>
              <w:jc w:val="center"/>
              <w:rPr>
                <w:rFonts w:cstheme="minorHAnsi"/>
                <w:b/>
              </w:rPr>
            </w:pPr>
            <w:r w:rsidRPr="00197956">
              <w:rPr>
                <w:rFonts w:cstheme="minorHAnsi"/>
                <w:b/>
              </w:rPr>
              <w:t>ARTICLE INFO</w:t>
            </w:r>
          </w:p>
        </w:tc>
        <w:tc>
          <w:tcPr>
            <w:tcW w:w="6945" w:type="dxa"/>
            <w:gridSpan w:val="2"/>
            <w:tcBorders>
              <w:top w:val="single" w:sz="12" w:space="0" w:color="800000"/>
              <w:left w:val="nil"/>
              <w:bottom w:val="single" w:sz="12" w:space="0" w:color="800000"/>
              <w:right w:val="nil"/>
            </w:tcBorders>
            <w:shd w:val="clear" w:color="auto" w:fill="auto"/>
          </w:tcPr>
          <w:p w14:paraId="6DBEBF82" w14:textId="77777777" w:rsidR="008939B9" w:rsidRPr="00197956" w:rsidRDefault="0065244A" w:rsidP="00EB328C">
            <w:pPr>
              <w:pStyle w:val="PythagorasNormal"/>
              <w:ind w:right="-85"/>
              <w:jc w:val="center"/>
              <w:rPr>
                <w:rFonts w:cstheme="minorHAnsi"/>
                <w:b/>
              </w:rPr>
            </w:pPr>
            <w:r w:rsidRPr="00197956">
              <w:rPr>
                <w:rFonts w:cstheme="minorHAnsi"/>
                <w:b/>
              </w:rPr>
              <w:t>ABSTRACT</w:t>
            </w:r>
          </w:p>
        </w:tc>
      </w:tr>
      <w:tr w:rsidR="00DB0A56" w:rsidRPr="00197956" w14:paraId="53C784DE" w14:textId="77777777" w:rsidTr="00AD5DD8">
        <w:tc>
          <w:tcPr>
            <w:tcW w:w="2127" w:type="dxa"/>
            <w:tcBorders>
              <w:top w:val="single" w:sz="12" w:space="0" w:color="800000"/>
              <w:left w:val="nil"/>
              <w:bottom w:val="nil"/>
              <w:right w:val="nil"/>
            </w:tcBorders>
          </w:tcPr>
          <w:p w14:paraId="45B10231" w14:textId="77777777" w:rsidR="008939B9" w:rsidRPr="00197956" w:rsidRDefault="0065244A" w:rsidP="001B0439">
            <w:pPr>
              <w:pStyle w:val="Pythagoras7ArticleHistory"/>
              <w:rPr>
                <w:rFonts w:cstheme="minorHAnsi"/>
              </w:rPr>
            </w:pPr>
            <w:r w:rsidRPr="00197956">
              <w:rPr>
                <w:rFonts w:cstheme="minorHAnsi"/>
              </w:rPr>
              <w:t>Article History:</w:t>
            </w:r>
          </w:p>
          <w:p w14:paraId="32ADF35C" w14:textId="77777777" w:rsidR="0065244A" w:rsidRPr="00197956" w:rsidRDefault="0065244A" w:rsidP="001B0439">
            <w:pPr>
              <w:pStyle w:val="Pythagoras8ArticleHistoryBody"/>
              <w:rPr>
                <w:rFonts w:cstheme="minorHAnsi"/>
                <w:lang w:val="id-ID"/>
              </w:rPr>
            </w:pPr>
            <w:r w:rsidRPr="00197956">
              <w:rPr>
                <w:rFonts w:cstheme="minorHAnsi"/>
              </w:rPr>
              <w:t>Received:</w:t>
            </w:r>
            <w:r w:rsidR="00AD5DD8" w:rsidRPr="00197956">
              <w:rPr>
                <w:rFonts w:cstheme="minorHAnsi"/>
              </w:rPr>
              <w:t xml:space="preserve"> xx-Nov. </w:t>
            </w:r>
            <w:r w:rsidR="00E0205D" w:rsidRPr="00197956">
              <w:rPr>
                <w:rFonts w:cstheme="minorHAnsi"/>
              </w:rPr>
              <w:t>20</w:t>
            </w:r>
            <w:r w:rsidR="00DA3DE7" w:rsidRPr="00197956">
              <w:rPr>
                <w:rFonts w:cstheme="minorHAnsi"/>
                <w:lang w:val="id-ID"/>
              </w:rPr>
              <w:t>22</w:t>
            </w:r>
          </w:p>
          <w:p w14:paraId="565DD6EE" w14:textId="77777777" w:rsidR="0065244A" w:rsidRPr="00197956" w:rsidRDefault="0065244A" w:rsidP="001B0439">
            <w:pPr>
              <w:pStyle w:val="Pythagoras8ArticleHistoryBody"/>
              <w:rPr>
                <w:rFonts w:cstheme="minorHAnsi"/>
                <w:lang w:val="id-ID"/>
              </w:rPr>
            </w:pPr>
            <w:r w:rsidRPr="00197956">
              <w:rPr>
                <w:rFonts w:cstheme="minorHAnsi"/>
              </w:rPr>
              <w:t>Revised:</w:t>
            </w:r>
            <w:r w:rsidR="00E0205D" w:rsidRPr="00197956">
              <w:rPr>
                <w:rFonts w:cstheme="minorHAnsi"/>
              </w:rPr>
              <w:t xml:space="preserve"> xx-Nov</w:t>
            </w:r>
            <w:r w:rsidR="00AD5DD8" w:rsidRPr="00197956">
              <w:rPr>
                <w:rFonts w:cstheme="minorHAnsi"/>
              </w:rPr>
              <w:t xml:space="preserve">. </w:t>
            </w:r>
            <w:r w:rsidR="00E0205D" w:rsidRPr="00197956">
              <w:rPr>
                <w:rFonts w:cstheme="minorHAnsi"/>
              </w:rPr>
              <w:t>20</w:t>
            </w:r>
            <w:r w:rsidR="00DA3DE7" w:rsidRPr="00197956">
              <w:rPr>
                <w:rFonts w:cstheme="minorHAnsi"/>
                <w:lang w:val="id-ID"/>
              </w:rPr>
              <w:t>22</w:t>
            </w:r>
          </w:p>
          <w:p w14:paraId="690B3F60" w14:textId="77777777" w:rsidR="00E0205D" w:rsidRPr="00197956" w:rsidRDefault="0065244A" w:rsidP="001B69AF">
            <w:pPr>
              <w:pStyle w:val="Pythagoras8ArticleHistoryBody"/>
              <w:rPr>
                <w:rFonts w:cstheme="minorHAnsi"/>
                <w:lang w:val="id-ID"/>
              </w:rPr>
            </w:pPr>
            <w:r w:rsidRPr="00197956">
              <w:rPr>
                <w:rFonts w:cstheme="minorHAnsi"/>
              </w:rPr>
              <w:t>Accepted:</w:t>
            </w:r>
            <w:r w:rsidR="00E0205D" w:rsidRPr="00197956">
              <w:rPr>
                <w:rFonts w:cstheme="minorHAnsi"/>
              </w:rPr>
              <w:t xml:space="preserve"> xx-Des</w:t>
            </w:r>
            <w:r w:rsidR="00AD5DD8" w:rsidRPr="00197956">
              <w:rPr>
                <w:rFonts w:cstheme="minorHAnsi"/>
              </w:rPr>
              <w:t>.</w:t>
            </w:r>
            <w:r w:rsidR="00E0205D" w:rsidRPr="00197956">
              <w:rPr>
                <w:rFonts w:cstheme="minorHAnsi"/>
              </w:rPr>
              <w:t>2</w:t>
            </w:r>
            <w:r w:rsidR="00DA3DE7" w:rsidRPr="00197956">
              <w:rPr>
                <w:rFonts w:cstheme="minorHAnsi"/>
                <w:lang w:val="id-ID"/>
              </w:rPr>
              <w:t>022</w:t>
            </w:r>
          </w:p>
          <w:p w14:paraId="6F8B3AB0" w14:textId="77777777" w:rsidR="001B69AF" w:rsidRPr="00197956" w:rsidRDefault="001B69AF" w:rsidP="001B69AF">
            <w:pPr>
              <w:pStyle w:val="Pythagoras8ArticleHistoryBody"/>
              <w:rPr>
                <w:rFonts w:cstheme="minorHAnsi"/>
                <w:lang w:val="id-ID"/>
              </w:rPr>
            </w:pPr>
          </w:p>
          <w:p w14:paraId="4B575298" w14:textId="77777777" w:rsidR="0065244A" w:rsidRPr="00197956" w:rsidRDefault="0065244A" w:rsidP="001B0439">
            <w:pPr>
              <w:pStyle w:val="Pythagoras90Keywords"/>
              <w:rPr>
                <w:rFonts w:cstheme="minorHAnsi"/>
              </w:rPr>
            </w:pPr>
            <w:r w:rsidRPr="00197956">
              <w:rPr>
                <w:rFonts w:cstheme="minorHAnsi"/>
              </w:rPr>
              <w:t>Keywords:</w:t>
            </w:r>
          </w:p>
          <w:p w14:paraId="70087758" w14:textId="77777777" w:rsidR="0065244A" w:rsidRPr="00197956" w:rsidRDefault="005A359C" w:rsidP="001B69AF">
            <w:pPr>
              <w:pStyle w:val="Pythagoras91KeywordBody"/>
              <w:rPr>
                <w:rFonts w:cstheme="minorHAnsi"/>
              </w:rPr>
            </w:pPr>
            <w:r>
              <w:rPr>
                <w:rFonts w:cstheme="minorHAnsi"/>
              </w:rPr>
              <w:t>Emotional intelligence, mathematics learning, TPS model, k</w:t>
            </w:r>
            <w:r w:rsidR="00B7756C" w:rsidRPr="00197956">
              <w:rPr>
                <w:rFonts w:cstheme="minorHAnsi"/>
              </w:rPr>
              <w:t>ecerdasa</w:t>
            </w:r>
            <w:r w:rsidR="00B7756C" w:rsidRPr="00197956">
              <w:rPr>
                <w:rFonts w:cstheme="minorHAnsi"/>
                <w:lang w:val="id-ID"/>
              </w:rPr>
              <w:t xml:space="preserve">n emosional, </w:t>
            </w:r>
            <w:r w:rsidR="00B7756C" w:rsidRPr="00197956">
              <w:rPr>
                <w:rFonts w:cstheme="minorHAnsi"/>
              </w:rPr>
              <w:t>pembelajaran matematika, model TPS.</w:t>
            </w:r>
          </w:p>
        </w:tc>
        <w:tc>
          <w:tcPr>
            <w:tcW w:w="6945" w:type="dxa"/>
            <w:gridSpan w:val="2"/>
            <w:tcBorders>
              <w:top w:val="single" w:sz="12" w:space="0" w:color="800000"/>
              <w:left w:val="nil"/>
              <w:bottom w:val="single" w:sz="12" w:space="0" w:color="800000"/>
              <w:right w:val="nil"/>
            </w:tcBorders>
          </w:tcPr>
          <w:p w14:paraId="0FD75AEA" w14:textId="38DCEC80" w:rsidR="008939B9" w:rsidRPr="00197956" w:rsidRDefault="00C33A92" w:rsidP="00B7756C">
            <w:pPr>
              <w:jc w:val="both"/>
              <w:rPr>
                <w:rFonts w:asciiTheme="minorHAnsi" w:hAnsiTheme="minorHAnsi" w:cstheme="minorHAnsi"/>
                <w:i/>
                <w:iCs/>
                <w:sz w:val="20"/>
                <w:szCs w:val="20"/>
              </w:rPr>
            </w:pPr>
            <w:r w:rsidRPr="00C33A92">
              <w:rPr>
                <w:rFonts w:asciiTheme="minorHAnsi" w:hAnsiTheme="minorHAnsi" w:cstheme="minorHAnsi"/>
                <w:sz w:val="20"/>
                <w:szCs w:val="20"/>
              </w:rPr>
              <w:t>Emotional intelligence is a person's ability to manage emotions related to oneself and others. Aspects of emotional intelligence include self-awareness, self-regulation, motivation, empathy, and social skills. Emotional intelligence needs to be improved so that students can obtain optimal learning outcomes. One way that can be done is to use the Think Pair Share (TPS) cooperative learning model in the teaching and learning process in the classroom. TPS is a teaching strategy that can help students construct their minds and make students actively involved in discussing activities and sharing results with their friends in class. This study aims to describe the application of the TPS model in improving students' emotional intelligence. The method used is a systematic literature review, namely the study of previous articles in a structured and planned manner. Based on the results of the study, it was found that the application of TPS model learning can improve students' emotional intelligence</w:t>
            </w:r>
            <w:r w:rsidR="00197956" w:rsidRPr="00197956">
              <w:rPr>
                <w:rFonts w:asciiTheme="minorHAnsi" w:hAnsiTheme="minorHAnsi" w:cstheme="minorHAnsi"/>
                <w:sz w:val="20"/>
                <w:szCs w:val="20"/>
              </w:rPr>
              <w:t>.</w:t>
            </w:r>
          </w:p>
        </w:tc>
      </w:tr>
      <w:tr w:rsidR="00321665" w:rsidRPr="00197956" w14:paraId="3F1392F4" w14:textId="77777777" w:rsidTr="00BC7369">
        <w:tc>
          <w:tcPr>
            <w:tcW w:w="2127" w:type="dxa"/>
            <w:vMerge w:val="restart"/>
            <w:tcBorders>
              <w:top w:val="nil"/>
              <w:left w:val="nil"/>
              <w:right w:val="nil"/>
            </w:tcBorders>
            <w:vAlign w:val="center"/>
          </w:tcPr>
          <w:p w14:paraId="28412BE4" w14:textId="77777777" w:rsidR="00321665" w:rsidRPr="00197956" w:rsidRDefault="00321665" w:rsidP="00BC7369">
            <w:pPr>
              <w:ind w:left="-85"/>
              <w:jc w:val="center"/>
              <w:rPr>
                <w:rFonts w:asciiTheme="minorHAnsi" w:hAnsiTheme="minorHAnsi" w:cstheme="minorHAnsi"/>
              </w:rPr>
            </w:pPr>
            <w:r w:rsidRPr="00197956">
              <w:rPr>
                <w:rFonts w:asciiTheme="minorHAnsi" w:hAnsiTheme="minorHAnsi" w:cstheme="minorHAnsi"/>
                <w:noProof/>
              </w:rPr>
              <w:drawing>
                <wp:inline distT="0" distB="0" distL="0" distR="0" wp14:anchorId="1C264BEE" wp14:editId="043BA123">
                  <wp:extent cx="1019175" cy="1320211"/>
                  <wp:effectExtent l="0" t="0" r="0" b="0"/>
                  <wp:docPr id="6" name="Picture 6" descr="C:\Users\Ezi Apino\Documents\Pythagoras 2019\Sampel 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Ezi Apino\Documents\Pythagoras 2019\Sampel QR Cod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2739" cy="1337782"/>
                          </a:xfrm>
                          <a:prstGeom prst="rect">
                            <a:avLst/>
                          </a:prstGeom>
                          <a:noFill/>
                          <a:ln>
                            <a:noFill/>
                          </a:ln>
                        </pic:spPr>
                      </pic:pic>
                    </a:graphicData>
                  </a:graphic>
                </wp:inline>
              </w:drawing>
            </w:r>
          </w:p>
        </w:tc>
        <w:tc>
          <w:tcPr>
            <w:tcW w:w="6945" w:type="dxa"/>
            <w:gridSpan w:val="2"/>
            <w:tcBorders>
              <w:top w:val="single" w:sz="12" w:space="0" w:color="800000"/>
              <w:left w:val="nil"/>
              <w:bottom w:val="single" w:sz="12" w:space="0" w:color="800000"/>
              <w:right w:val="nil"/>
            </w:tcBorders>
          </w:tcPr>
          <w:p w14:paraId="673D8B3D" w14:textId="4195D25A" w:rsidR="00321665" w:rsidRPr="00231ED4" w:rsidRDefault="00197956" w:rsidP="00F84AE0">
            <w:pPr>
              <w:pStyle w:val="Pythagoras6AbstractBodyEnglish"/>
            </w:pPr>
            <w:r w:rsidRPr="00197956">
              <w:rPr>
                <w:rFonts w:cstheme="minorHAnsi"/>
              </w:rPr>
              <w:t xml:space="preserve">Kecerdasan emosional ialah suatu kemampuan seseorang dalam mengelola emosi yang berkaitan dengan diri sendiri maupun orang lain. Aspek dalam kecerdasan emosional diantaranya adalah kesadaran diri, pengaturan diri, motivasi, empati, dan keterampilan sosial. Kecerdasan emosional perlu ditingkatkan agar siswa dapat memperoleh hasil belajar yang optimal. Salah satu cara yang dapat dilakukan ialah dengan menggunakan model pembelajaran kooperatif tipe </w:t>
            </w:r>
            <w:r w:rsidRPr="00197956">
              <w:rPr>
                <w:rFonts w:cstheme="minorHAnsi"/>
                <w:iCs/>
              </w:rPr>
              <w:t>Think Pair Share</w:t>
            </w:r>
            <w:r w:rsidRPr="00197956">
              <w:rPr>
                <w:rFonts w:cstheme="minorHAnsi"/>
              </w:rPr>
              <w:t xml:space="preserve"> (TPS) dalam proses belajar mengajar di kelas. TPS merupakan strategi pengajaran yang dapat membantu siswa mengkonstruksi pikirannya serta membuat siswa terlibat aktif dalam kegiatan berdiskusi maupun berbagi hasil dengan temannya di kelas. </w:t>
            </w:r>
            <w:r w:rsidR="00231ED4">
              <w:t>Penelitian ini bertujuan untuk mendeskripsikan penerapan model TPS dalam meningkatkan kecerdasan emisonal siswa</w:t>
            </w:r>
            <w:r w:rsidR="00231ED4" w:rsidRPr="0031038F">
              <w:t xml:space="preserve">. </w:t>
            </w:r>
            <w:r w:rsidR="00F84AE0">
              <w:t xml:space="preserve">Metode yang digunakan adalah tinjauan pustaka sistematis </w:t>
            </w:r>
            <w:r w:rsidR="00F84AE0" w:rsidRPr="00F84AE0">
              <w:t>yaitu penelaahan terhadap artikel sebelumnya secara terstruktur dan terencana</w:t>
            </w:r>
            <w:r w:rsidR="00F84AE0">
              <w:t>. Berdasarkan h</w:t>
            </w:r>
            <w:r w:rsidR="00231ED4" w:rsidRPr="0031038F">
              <w:t xml:space="preserve">asil penelitian </w:t>
            </w:r>
            <w:r w:rsidR="00F84AE0">
              <w:t>diperoleh bahwa</w:t>
            </w:r>
            <w:r w:rsidR="00231ED4" w:rsidRPr="0031038F">
              <w:t xml:space="preserve"> </w:t>
            </w:r>
            <w:r w:rsidR="00F84AE0">
              <w:t xml:space="preserve">penerapan pembelajaran </w:t>
            </w:r>
            <w:r w:rsidR="00231ED4">
              <w:t xml:space="preserve">model TPS </w:t>
            </w:r>
            <w:r w:rsidR="00F84AE0">
              <w:t xml:space="preserve">dapat </w:t>
            </w:r>
            <w:r w:rsidR="00231ED4">
              <w:t>meningkatkan kecerdasan emosional siswa.</w:t>
            </w:r>
            <w:r w:rsidR="00C33A92">
              <w:t xml:space="preserve"> </w:t>
            </w:r>
          </w:p>
        </w:tc>
      </w:tr>
      <w:tr w:rsidR="00EB328C" w:rsidRPr="00197956" w14:paraId="2CA49A8E" w14:textId="77777777" w:rsidTr="001B0439">
        <w:tc>
          <w:tcPr>
            <w:tcW w:w="2127" w:type="dxa"/>
            <w:vMerge/>
            <w:tcBorders>
              <w:left w:val="nil"/>
              <w:bottom w:val="single" w:sz="4" w:space="0" w:color="auto"/>
              <w:right w:val="nil"/>
            </w:tcBorders>
          </w:tcPr>
          <w:p w14:paraId="6CF974C7" w14:textId="77777777" w:rsidR="00EB328C" w:rsidRPr="00197956" w:rsidRDefault="00EB328C" w:rsidP="00EB328C">
            <w:pPr>
              <w:ind w:left="-85"/>
              <w:rPr>
                <w:rFonts w:asciiTheme="minorHAnsi" w:hAnsiTheme="minorHAnsi" w:cstheme="minorHAnsi"/>
                <w:spacing w:val="-8"/>
                <w:sz w:val="20"/>
                <w:szCs w:val="20"/>
                <w:lang w:val="id-ID"/>
              </w:rPr>
            </w:pPr>
          </w:p>
        </w:tc>
        <w:tc>
          <w:tcPr>
            <w:tcW w:w="5811" w:type="dxa"/>
            <w:tcBorders>
              <w:top w:val="single" w:sz="12" w:space="0" w:color="800000"/>
              <w:left w:val="nil"/>
              <w:bottom w:val="single" w:sz="4" w:space="0" w:color="auto"/>
              <w:right w:val="nil"/>
            </w:tcBorders>
            <w:vAlign w:val="center"/>
          </w:tcPr>
          <w:p w14:paraId="3901E3D7" w14:textId="77777777" w:rsidR="00EB328C" w:rsidRPr="00197956" w:rsidRDefault="00EB328C" w:rsidP="001B0439">
            <w:pPr>
              <w:pStyle w:val="PythagorasCClogo"/>
              <w:rPr>
                <w:rFonts w:cstheme="minorHAnsi"/>
              </w:rPr>
            </w:pPr>
            <w:r w:rsidRPr="00197956">
              <w:rPr>
                <w:rFonts w:cstheme="minorHAnsi"/>
              </w:rPr>
              <w:t xml:space="preserve">This is an open access article under the </w:t>
            </w:r>
            <w:hyperlink r:id="rId12" w:history="1">
              <w:r w:rsidRPr="00197956">
                <w:rPr>
                  <w:rStyle w:val="Hyperlink"/>
                  <w:rFonts w:cstheme="minorHAnsi"/>
                  <w:sz w:val="20"/>
                  <w:szCs w:val="20"/>
                </w:rPr>
                <w:t>CC-BY-SA</w:t>
              </w:r>
            </w:hyperlink>
            <w:r w:rsidRPr="00197956">
              <w:rPr>
                <w:rFonts w:cstheme="minorHAnsi"/>
              </w:rPr>
              <w:t xml:space="preserve"> license</w:t>
            </w:r>
            <w:r w:rsidRPr="00197956">
              <w:rPr>
                <w:rFonts w:cstheme="minorHAnsi"/>
                <w:noProof/>
              </w:rPr>
              <w:t xml:space="preserve"> </w:t>
            </w:r>
          </w:p>
        </w:tc>
        <w:tc>
          <w:tcPr>
            <w:tcW w:w="1134" w:type="dxa"/>
            <w:tcBorders>
              <w:top w:val="single" w:sz="12" w:space="0" w:color="800000"/>
              <w:left w:val="nil"/>
              <w:bottom w:val="single" w:sz="4" w:space="0" w:color="auto"/>
              <w:right w:val="nil"/>
            </w:tcBorders>
            <w:vAlign w:val="center"/>
          </w:tcPr>
          <w:p w14:paraId="188E782A" w14:textId="77777777" w:rsidR="00EB328C" w:rsidRPr="00197956" w:rsidRDefault="00EB328C" w:rsidP="001B0439">
            <w:pPr>
              <w:pStyle w:val="PythagorasCClogo"/>
              <w:rPr>
                <w:rFonts w:cstheme="minorHAnsi"/>
              </w:rPr>
            </w:pPr>
            <w:r w:rsidRPr="00197956">
              <w:rPr>
                <w:rFonts w:cstheme="minorHAnsi"/>
                <w:noProof/>
              </w:rPr>
              <w:drawing>
                <wp:inline distT="0" distB="0" distL="0" distR="0" wp14:anchorId="7EA16D9D" wp14:editId="11F71F31">
                  <wp:extent cx="647700" cy="225425"/>
                  <wp:effectExtent l="0" t="0" r="0" b="3175"/>
                  <wp:docPr id="7" name="Picture 7" descr="C:\Users\Ezi Apino\Documents\Pythagoras 2019\creative common.org.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Ezi Apino\Documents\Pythagoras 2019\creative common.or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225425"/>
                          </a:xfrm>
                          <a:prstGeom prst="rect">
                            <a:avLst/>
                          </a:prstGeom>
                          <a:noFill/>
                          <a:ln>
                            <a:noFill/>
                          </a:ln>
                        </pic:spPr>
                      </pic:pic>
                    </a:graphicData>
                  </a:graphic>
                </wp:inline>
              </w:drawing>
            </w:r>
          </w:p>
        </w:tc>
      </w:tr>
    </w:tbl>
    <w:p w14:paraId="41CA1560" w14:textId="77777777" w:rsidR="005C27BD" w:rsidRPr="00197956" w:rsidRDefault="002D3494" w:rsidP="00F9218A">
      <w:pPr>
        <w:pStyle w:val="StylePythagoras921HowToCiteTitle"/>
        <w:rPr>
          <w:rFonts w:cstheme="minorHAnsi"/>
        </w:rPr>
      </w:pPr>
      <w:r w:rsidRPr="00197956">
        <w:rPr>
          <w:rFonts w:cstheme="minorHAnsi"/>
        </w:rPr>
        <w:t xml:space="preserve">How to Cite: </w:t>
      </w:r>
    </w:p>
    <w:p w14:paraId="00A2CAE9" w14:textId="77777777" w:rsidR="002D3494" w:rsidRPr="00197956" w:rsidRDefault="005A40BB" w:rsidP="00C74AC3">
      <w:pPr>
        <w:pStyle w:val="Pythagoras921HowToCite"/>
        <w:rPr>
          <w:rFonts w:cstheme="minorHAnsi"/>
        </w:rPr>
      </w:pPr>
      <w:r w:rsidRPr="00197956">
        <w:rPr>
          <w:rFonts w:cstheme="minorHAnsi"/>
        </w:rPr>
        <w:t>Zahrona, S.</w:t>
      </w:r>
      <w:r w:rsidR="00DA3DE7" w:rsidRPr="00197956">
        <w:rPr>
          <w:rFonts w:cstheme="minorHAnsi"/>
        </w:rPr>
        <w:t>Z., Widjajanti, D.B.</w:t>
      </w:r>
      <w:r w:rsidR="007207B3" w:rsidRPr="00197956">
        <w:rPr>
          <w:rFonts w:cstheme="minorHAnsi"/>
        </w:rPr>
        <w:t xml:space="preserve"> (20</w:t>
      </w:r>
      <w:r w:rsidR="00DA3DE7" w:rsidRPr="00197956">
        <w:rPr>
          <w:rFonts w:cstheme="minorHAnsi"/>
          <w:lang w:val="id-ID"/>
        </w:rPr>
        <w:t>22</w:t>
      </w:r>
      <w:r w:rsidR="007207B3" w:rsidRPr="00197956">
        <w:rPr>
          <w:rFonts w:cstheme="minorHAnsi"/>
        </w:rPr>
        <w:t xml:space="preserve">). </w:t>
      </w:r>
      <w:r w:rsidR="00DA3DE7" w:rsidRPr="00197956">
        <w:rPr>
          <w:rFonts w:cstheme="minorHAnsi"/>
        </w:rPr>
        <w:t>Apakah Kecerdasan Emosional dalam Pembelajaran Matematika dapat Ditingkatkan Melalui Model TPS? Tinjauan Literatur.</w:t>
      </w:r>
      <w:r w:rsidR="007207B3" w:rsidRPr="00197956">
        <w:rPr>
          <w:rFonts w:cstheme="minorHAnsi"/>
        </w:rPr>
        <w:t xml:space="preserve"> </w:t>
      </w:r>
      <w:r w:rsidR="00AE5EA6" w:rsidRPr="00197956">
        <w:rPr>
          <w:rFonts w:cstheme="minorHAnsi"/>
          <w:i/>
          <w:iCs/>
        </w:rPr>
        <w:t>Pythagoras</w:t>
      </w:r>
      <w:r w:rsidR="007207B3" w:rsidRPr="00197956">
        <w:rPr>
          <w:rFonts w:cstheme="minorHAnsi"/>
          <w:i/>
          <w:iCs/>
        </w:rPr>
        <w:t>: Jurnal Pendidikan Matematika, 1</w:t>
      </w:r>
      <w:r w:rsidR="00EB328C" w:rsidRPr="00197956">
        <w:rPr>
          <w:rFonts w:cstheme="minorHAnsi"/>
          <w:i/>
          <w:iCs/>
        </w:rPr>
        <w:t>5</w:t>
      </w:r>
      <w:r w:rsidR="007207B3" w:rsidRPr="00197956">
        <w:rPr>
          <w:rFonts w:cstheme="minorHAnsi"/>
        </w:rPr>
        <w:t xml:space="preserve">(1), 1-5.  </w:t>
      </w:r>
      <w:hyperlink r:id="rId14" w:history="1">
        <w:r w:rsidR="007207B3" w:rsidRPr="00197956">
          <w:rPr>
            <w:rStyle w:val="Hyperlink"/>
            <w:rFonts w:cstheme="minorHAnsi"/>
            <w:iCs/>
            <w:color w:val="000000" w:themeColor="text1"/>
            <w:spacing w:val="-6"/>
            <w:sz w:val="20"/>
            <w:szCs w:val="20"/>
          </w:rPr>
          <w:t>https://doi.org/10.21831/pg.v13ixxxxxx</w:t>
        </w:r>
      </w:hyperlink>
    </w:p>
    <w:p w14:paraId="004F079E" w14:textId="77777777" w:rsidR="007207B3" w:rsidRPr="00197956" w:rsidRDefault="007207B3" w:rsidP="00FF7D31">
      <w:pPr>
        <w:rPr>
          <w:rFonts w:asciiTheme="minorHAnsi" w:hAnsiTheme="minorHAnsi" w:cstheme="minorHAnsi"/>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8710"/>
      </w:tblGrid>
      <w:tr w:rsidR="001163F0" w:rsidRPr="00197956" w14:paraId="68E5F083" w14:textId="77777777" w:rsidTr="00F9218A">
        <w:tc>
          <w:tcPr>
            <w:tcW w:w="499" w:type="dxa"/>
          </w:tcPr>
          <w:p w14:paraId="72E3EA00" w14:textId="77777777" w:rsidR="001163F0" w:rsidRPr="00197956" w:rsidRDefault="001163F0">
            <w:pPr>
              <w:rPr>
                <w:rFonts w:asciiTheme="minorHAnsi" w:hAnsiTheme="minorHAnsi" w:cstheme="minorHAnsi"/>
                <w:sz w:val="22"/>
                <w:szCs w:val="22"/>
              </w:rPr>
            </w:pPr>
            <w:r w:rsidRPr="00197956">
              <w:rPr>
                <w:rFonts w:asciiTheme="minorHAnsi" w:hAnsiTheme="minorHAnsi" w:cstheme="minorHAnsi"/>
                <w:noProof/>
                <w:spacing w:val="-6"/>
              </w:rPr>
              <w:drawing>
                <wp:inline distT="0" distB="0" distL="0" distR="0" wp14:anchorId="507457B8" wp14:editId="1A55FB2C">
                  <wp:extent cx="180000" cy="180000"/>
                  <wp:effectExtent l="0" t="0" r="0" b="0"/>
                  <wp:docPr id="11" name="Picture 11" descr="C:\Users\Ezi Apino\Documents\Pythagoras 2019\logo 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i Apino\Documents\Pythagoras 2019\logo doi.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p>
        </w:tc>
        <w:tc>
          <w:tcPr>
            <w:tcW w:w="8710" w:type="dxa"/>
            <w:vAlign w:val="center"/>
          </w:tcPr>
          <w:p w14:paraId="2C94F0C8" w14:textId="77777777" w:rsidR="007207B3" w:rsidRPr="00197956" w:rsidRDefault="00000000" w:rsidP="00F9218A">
            <w:pPr>
              <w:rPr>
                <w:rFonts w:asciiTheme="minorHAnsi" w:hAnsiTheme="minorHAnsi" w:cstheme="minorHAnsi"/>
                <w:sz w:val="20"/>
                <w:szCs w:val="20"/>
              </w:rPr>
            </w:pPr>
            <w:hyperlink r:id="rId16" w:history="1">
              <w:r w:rsidR="007207B3" w:rsidRPr="00197956">
                <w:rPr>
                  <w:rStyle w:val="Hyperlink"/>
                  <w:rFonts w:cstheme="minorHAnsi"/>
                  <w:sz w:val="20"/>
                  <w:szCs w:val="20"/>
                </w:rPr>
                <w:t>https://doi.org/10.21831/pg.v13ixxxxxx</w:t>
              </w:r>
            </w:hyperlink>
          </w:p>
        </w:tc>
      </w:tr>
    </w:tbl>
    <w:p w14:paraId="5848B2D8" w14:textId="77777777" w:rsidR="00677DA9" w:rsidRPr="00197956" w:rsidRDefault="00197956" w:rsidP="005A359C">
      <w:pPr>
        <w:pStyle w:val="PythagorasHeading1"/>
        <w:rPr>
          <w:rFonts w:asciiTheme="minorHAnsi" w:hAnsiTheme="minorHAnsi" w:cstheme="minorHAnsi"/>
        </w:rPr>
      </w:pPr>
      <w:r w:rsidRPr="00197956">
        <w:rPr>
          <w:rFonts w:asciiTheme="minorHAnsi" w:hAnsiTheme="minorHAnsi" w:cstheme="minorHAnsi"/>
        </w:rPr>
        <w:t>INTRODUCTION</w:t>
      </w:r>
    </w:p>
    <w:p w14:paraId="7801FFD4" w14:textId="77777777" w:rsidR="00DA3DE7" w:rsidRPr="00197956" w:rsidRDefault="004C5EF8" w:rsidP="00DA3DE7">
      <w:pPr>
        <w:jc w:val="both"/>
        <w:rPr>
          <w:rFonts w:asciiTheme="minorHAnsi" w:hAnsiTheme="minorHAnsi" w:cstheme="minorHAnsi"/>
          <w:sz w:val="22"/>
          <w:szCs w:val="22"/>
        </w:rPr>
      </w:pPr>
      <w:r w:rsidRPr="004C5EF8">
        <w:rPr>
          <w:rFonts w:asciiTheme="minorHAnsi" w:hAnsiTheme="minorHAnsi" w:cstheme="minorHAnsi"/>
          <w:sz w:val="22"/>
          <w:szCs w:val="22"/>
          <w:lang w:val="en"/>
        </w:rPr>
        <w:t xml:space="preserve">Emotional intelligence is a factor that influences students' school success in non-cognitive fields </w:t>
      </w:r>
      <w:r w:rsidR="006E2E8B" w:rsidRPr="00197956">
        <w:rPr>
          <w:rFonts w:asciiTheme="minorHAnsi" w:hAnsiTheme="minorHAnsi" w:cstheme="minorHAnsi"/>
          <w:sz w:val="22"/>
          <w:szCs w:val="22"/>
        </w:rPr>
        <w:t>(Tam, H. L., et al., 2021</w:t>
      </w:r>
      <w:r w:rsidR="006E2E8B" w:rsidRPr="00197956">
        <w:rPr>
          <w:rFonts w:asciiTheme="minorHAnsi" w:hAnsiTheme="minorHAnsi" w:cstheme="minorHAnsi"/>
          <w:noProof/>
        </w:rPr>
        <w:t xml:space="preserve">; </w:t>
      </w:r>
      <w:r w:rsidR="006E2E8B" w:rsidRPr="00197956">
        <w:rPr>
          <w:rFonts w:asciiTheme="minorHAnsi" w:hAnsiTheme="minorHAnsi" w:cstheme="minorHAnsi"/>
          <w:sz w:val="22"/>
          <w:szCs w:val="22"/>
        </w:rPr>
        <w:t>Prafitriyani, S., et al., 2019)</w:t>
      </w:r>
      <w:r w:rsidR="00DA3DE7" w:rsidRPr="00197956">
        <w:rPr>
          <w:rFonts w:asciiTheme="minorHAnsi" w:hAnsiTheme="minorHAnsi" w:cstheme="minorHAnsi"/>
          <w:sz w:val="22"/>
          <w:szCs w:val="22"/>
        </w:rPr>
        <w:t xml:space="preserve">. </w:t>
      </w:r>
      <w:r w:rsidR="002E650B" w:rsidRPr="00197956">
        <w:rPr>
          <w:rFonts w:asciiTheme="minorHAnsi" w:hAnsiTheme="minorHAnsi" w:cstheme="minorHAnsi"/>
          <w:color w:val="222222"/>
          <w:sz w:val="22"/>
          <w:szCs w:val="22"/>
          <w:shd w:val="clear" w:color="auto" w:fill="FFFFFF"/>
        </w:rPr>
        <w:t>Hasanzadeh dan Shahmohamadi (</w:t>
      </w:r>
      <w:r w:rsidR="006E2E8B" w:rsidRPr="00197956">
        <w:rPr>
          <w:rFonts w:asciiTheme="minorHAnsi" w:hAnsiTheme="minorHAnsi" w:cstheme="minorHAnsi"/>
          <w:color w:val="222222"/>
          <w:sz w:val="22"/>
          <w:szCs w:val="22"/>
          <w:shd w:val="clear" w:color="auto" w:fill="FFFFFF"/>
        </w:rPr>
        <w:t xml:space="preserve">2011) </w:t>
      </w:r>
      <w:r w:rsidRPr="004C5EF8">
        <w:rPr>
          <w:rFonts w:asciiTheme="minorHAnsi" w:hAnsiTheme="minorHAnsi" w:cstheme="minorHAnsi"/>
          <w:color w:val="222222"/>
          <w:sz w:val="22"/>
          <w:szCs w:val="22"/>
          <w:shd w:val="clear" w:color="auto" w:fill="FFFFFF"/>
          <w:lang w:val="en"/>
        </w:rPr>
        <w:t>reveal that emotional intelligence is the ability to identify and control emotions in oneself and others</w:t>
      </w:r>
      <w:r w:rsidR="006E2E8B" w:rsidRPr="00197956">
        <w:rPr>
          <w:rFonts w:asciiTheme="minorHAnsi" w:hAnsiTheme="minorHAnsi" w:cstheme="minorHAnsi"/>
          <w:sz w:val="22"/>
          <w:szCs w:val="22"/>
        </w:rPr>
        <w:t xml:space="preserve">. </w:t>
      </w:r>
      <w:r>
        <w:rPr>
          <w:rFonts w:asciiTheme="minorHAnsi" w:hAnsiTheme="minorHAnsi" w:cstheme="minorHAnsi"/>
          <w:sz w:val="22"/>
          <w:szCs w:val="22"/>
        </w:rPr>
        <w:t>According to</w:t>
      </w:r>
      <w:r w:rsidR="006E2E8B" w:rsidRPr="00197956">
        <w:rPr>
          <w:rFonts w:asciiTheme="minorHAnsi" w:hAnsiTheme="minorHAnsi" w:cstheme="minorHAnsi"/>
          <w:sz w:val="22"/>
          <w:szCs w:val="22"/>
        </w:rPr>
        <w:t xml:space="preserve"> Lyons and Schneider (2005)</w:t>
      </w:r>
      <w:r w:rsidR="00DA3DE7" w:rsidRPr="00197956">
        <w:rPr>
          <w:rFonts w:asciiTheme="minorHAnsi" w:hAnsiTheme="minorHAnsi" w:cstheme="minorHAnsi"/>
          <w:sz w:val="22"/>
          <w:szCs w:val="22"/>
        </w:rPr>
        <w:t xml:space="preserve"> </w:t>
      </w:r>
      <w:r w:rsidRPr="004C5EF8">
        <w:rPr>
          <w:rFonts w:asciiTheme="minorHAnsi" w:hAnsiTheme="minorHAnsi" w:cstheme="minorHAnsi"/>
          <w:sz w:val="22"/>
          <w:szCs w:val="22"/>
          <w:lang w:val="en"/>
        </w:rPr>
        <w:t>students with high emotional intelligence encourage better performance and perceive learning as a challenge, while students with low emotional intelligence encourage lower performance and perceive learning as a threat</w:t>
      </w:r>
      <w:r w:rsidR="00DA3DE7" w:rsidRPr="00197956">
        <w:rPr>
          <w:rFonts w:asciiTheme="minorHAnsi" w:hAnsiTheme="minorHAnsi" w:cstheme="minorHAnsi"/>
          <w:sz w:val="22"/>
          <w:szCs w:val="22"/>
        </w:rPr>
        <w:t xml:space="preserve">. </w:t>
      </w:r>
    </w:p>
    <w:p w14:paraId="7FC04F6A" w14:textId="77777777" w:rsidR="00DA3DE7" w:rsidRPr="00197956" w:rsidRDefault="004C5EF8" w:rsidP="00DA3DE7">
      <w:pPr>
        <w:ind w:firstLine="720"/>
        <w:jc w:val="both"/>
        <w:rPr>
          <w:rFonts w:asciiTheme="minorHAnsi" w:hAnsiTheme="minorHAnsi" w:cstheme="minorHAnsi"/>
          <w:sz w:val="22"/>
          <w:szCs w:val="22"/>
        </w:rPr>
      </w:pPr>
      <w:r w:rsidRPr="004C5EF8">
        <w:rPr>
          <w:rFonts w:asciiTheme="minorHAnsi" w:hAnsiTheme="minorHAnsi" w:cstheme="minorHAnsi"/>
          <w:sz w:val="22"/>
          <w:szCs w:val="22"/>
          <w:lang w:val="en"/>
        </w:rPr>
        <w:t xml:space="preserve">However, emotion is one aspect that is neglected when learning mathematics. Emotions are ignored because students are judged on how well they solve mathematical problems, the ability to understand mathematical literacy, mathematical skills, and so on </w:t>
      </w:r>
      <w:r w:rsidR="006E2E8B" w:rsidRPr="00197956">
        <w:rPr>
          <w:rFonts w:asciiTheme="minorHAnsi" w:hAnsiTheme="minorHAnsi" w:cstheme="minorHAnsi"/>
          <w:sz w:val="22"/>
          <w:szCs w:val="22"/>
        </w:rPr>
        <w:t>(Tam, H. L., et al., 2021).</w:t>
      </w:r>
      <w:r w:rsidR="00DA3DE7" w:rsidRPr="00197956">
        <w:rPr>
          <w:rFonts w:asciiTheme="minorHAnsi" w:hAnsiTheme="minorHAnsi" w:cstheme="minorHAnsi"/>
          <w:sz w:val="22"/>
          <w:szCs w:val="22"/>
        </w:rPr>
        <w:t xml:space="preserve"> </w:t>
      </w:r>
      <w:r w:rsidRPr="004C5EF8">
        <w:rPr>
          <w:rFonts w:asciiTheme="minorHAnsi" w:hAnsiTheme="minorHAnsi" w:cstheme="minorHAnsi"/>
          <w:sz w:val="22"/>
          <w:szCs w:val="22"/>
          <w:lang w:val="en"/>
        </w:rPr>
        <w:t xml:space="preserve">Meanwhile, </w:t>
      </w:r>
      <w:r w:rsidRPr="004C5EF8">
        <w:rPr>
          <w:rFonts w:asciiTheme="minorHAnsi" w:hAnsiTheme="minorHAnsi" w:cstheme="minorHAnsi"/>
          <w:sz w:val="22"/>
          <w:szCs w:val="22"/>
          <w:lang w:val="en"/>
        </w:rPr>
        <w:lastRenderedPageBreak/>
        <w:t>when students will solve problems, emotional intelligence will affect the steps they will take</w:t>
      </w:r>
      <w:r w:rsidR="00DA3DE7" w:rsidRPr="00197956">
        <w:rPr>
          <w:rFonts w:asciiTheme="minorHAnsi" w:hAnsiTheme="minorHAnsi" w:cstheme="minorHAnsi"/>
          <w:sz w:val="22"/>
          <w:szCs w:val="22"/>
        </w:rPr>
        <w:t xml:space="preserve">. </w:t>
      </w:r>
      <w:r w:rsidRPr="004C5EF8">
        <w:rPr>
          <w:rFonts w:asciiTheme="minorHAnsi" w:hAnsiTheme="minorHAnsi" w:cstheme="minorHAnsi"/>
          <w:sz w:val="22"/>
          <w:szCs w:val="22"/>
          <w:lang w:val="en"/>
        </w:rPr>
        <w:t xml:space="preserve">Difficulty in solving problems is one of the impacts of low emotional intelligence and students will experience confusion because they cannot respond naturally and positively to emotional conditions </w:t>
      </w:r>
      <w:r w:rsidR="006E2E8B" w:rsidRPr="00197956">
        <w:rPr>
          <w:rFonts w:asciiTheme="minorHAnsi" w:hAnsiTheme="minorHAnsi" w:cstheme="minorHAnsi"/>
          <w:sz w:val="22"/>
          <w:szCs w:val="22"/>
        </w:rPr>
        <w:t>(Gohm, et al., 2005)</w:t>
      </w:r>
      <w:r w:rsidR="00DA3DE7" w:rsidRPr="00197956">
        <w:rPr>
          <w:rFonts w:asciiTheme="minorHAnsi" w:hAnsiTheme="minorHAnsi" w:cstheme="minorHAnsi"/>
          <w:sz w:val="22"/>
          <w:szCs w:val="22"/>
        </w:rPr>
        <w:t xml:space="preserve">. </w:t>
      </w:r>
      <w:r w:rsidRPr="004C5EF8">
        <w:rPr>
          <w:rFonts w:asciiTheme="minorHAnsi" w:hAnsiTheme="minorHAnsi" w:cstheme="minorHAnsi"/>
          <w:sz w:val="22"/>
          <w:szCs w:val="22"/>
          <w:lang w:val="en"/>
        </w:rPr>
        <w:t>So that efforts are needed to improve the emotional intelligence of students in schools</w:t>
      </w:r>
      <w:r w:rsidRPr="004C5EF8">
        <w:rPr>
          <w:rFonts w:asciiTheme="minorHAnsi" w:hAnsiTheme="minorHAnsi" w:cstheme="minorHAnsi"/>
          <w:sz w:val="22"/>
          <w:szCs w:val="22"/>
        </w:rPr>
        <w:t xml:space="preserve"> </w:t>
      </w:r>
      <w:r w:rsidR="006E2E8B" w:rsidRPr="00197956">
        <w:rPr>
          <w:rFonts w:asciiTheme="minorHAnsi" w:hAnsiTheme="minorHAnsi" w:cstheme="minorHAnsi"/>
          <w:noProof/>
        </w:rPr>
        <w:t>(</w:t>
      </w:r>
      <w:r w:rsidR="006E2E8B" w:rsidRPr="00197956">
        <w:rPr>
          <w:rFonts w:asciiTheme="minorHAnsi" w:hAnsiTheme="minorHAnsi" w:cstheme="minorHAnsi"/>
          <w:sz w:val="22"/>
          <w:szCs w:val="22"/>
        </w:rPr>
        <w:t>Nor et al., 2016)</w:t>
      </w:r>
      <w:r w:rsidR="00DA3DE7" w:rsidRPr="00197956">
        <w:rPr>
          <w:rFonts w:asciiTheme="minorHAnsi" w:hAnsiTheme="minorHAnsi" w:cstheme="minorHAnsi"/>
          <w:sz w:val="22"/>
          <w:szCs w:val="22"/>
        </w:rPr>
        <w:t xml:space="preserve">. </w:t>
      </w:r>
    </w:p>
    <w:p w14:paraId="0FB388D3" w14:textId="59EC10D1" w:rsidR="0054363A" w:rsidRPr="00E76B0A" w:rsidRDefault="00807BBE" w:rsidP="00E76B0A">
      <w:pPr>
        <w:ind w:firstLine="720"/>
        <w:jc w:val="both"/>
        <w:rPr>
          <w:rFonts w:asciiTheme="minorHAnsi" w:hAnsiTheme="minorHAnsi" w:cstheme="minorHAnsi"/>
          <w:sz w:val="22"/>
          <w:szCs w:val="22"/>
        </w:rPr>
      </w:pPr>
      <w:r w:rsidRPr="00807BBE">
        <w:rPr>
          <w:rFonts w:asciiTheme="minorHAnsi" w:hAnsiTheme="minorHAnsi" w:cstheme="minorHAnsi"/>
          <w:sz w:val="22"/>
          <w:szCs w:val="22"/>
        </w:rPr>
        <w:t>So</w:t>
      </w:r>
      <w:r>
        <w:rPr>
          <w:rFonts w:asciiTheme="minorHAnsi" w:hAnsiTheme="minorHAnsi" w:cstheme="minorHAnsi"/>
          <w:sz w:val="22"/>
          <w:szCs w:val="22"/>
        </w:rPr>
        <w:t>,</w:t>
      </w:r>
      <w:r w:rsidRPr="00807BBE">
        <w:rPr>
          <w:rFonts w:asciiTheme="minorHAnsi" w:hAnsiTheme="minorHAnsi" w:cstheme="minorHAnsi"/>
          <w:sz w:val="22"/>
          <w:szCs w:val="22"/>
        </w:rPr>
        <w:t xml:space="preserve"> from the explanation above, to improve students' emotional intelligence, researchers have a solution by utilizing a learning model. </w:t>
      </w:r>
      <w:r w:rsidR="00DB2093" w:rsidRPr="00DB2093">
        <w:rPr>
          <w:rFonts w:asciiTheme="minorHAnsi" w:hAnsiTheme="minorHAnsi" w:cstheme="minorHAnsi"/>
          <w:sz w:val="22"/>
          <w:szCs w:val="22"/>
        </w:rPr>
        <w:t>One of the learning models that can be applied in classroom learning and theoretically able to develop students' emotional intelligence is the think pair share (TPS) cooperative learning model</w:t>
      </w:r>
      <w:r w:rsidRPr="00807BBE">
        <w:rPr>
          <w:rFonts w:asciiTheme="minorHAnsi" w:hAnsiTheme="minorHAnsi" w:cstheme="minorHAnsi"/>
          <w:sz w:val="22"/>
          <w:szCs w:val="22"/>
        </w:rPr>
        <w:t>.</w:t>
      </w:r>
      <w:r>
        <w:rPr>
          <w:rFonts w:asciiTheme="minorHAnsi" w:hAnsiTheme="minorHAnsi" w:cstheme="minorHAnsi"/>
          <w:sz w:val="22"/>
          <w:szCs w:val="22"/>
        </w:rPr>
        <w:t xml:space="preserve"> TPS</w:t>
      </w:r>
      <w:r w:rsidR="00DA3DE7" w:rsidRPr="00197956">
        <w:rPr>
          <w:rFonts w:asciiTheme="minorHAnsi" w:hAnsiTheme="minorHAnsi" w:cstheme="minorHAnsi"/>
          <w:sz w:val="22"/>
          <w:szCs w:val="22"/>
        </w:rPr>
        <w:t xml:space="preserve"> </w:t>
      </w:r>
      <w:r w:rsidR="004C5EF8" w:rsidRPr="004C5EF8">
        <w:rPr>
          <w:rFonts w:asciiTheme="minorHAnsi" w:hAnsiTheme="minorHAnsi" w:cstheme="minorHAnsi"/>
          <w:sz w:val="22"/>
          <w:szCs w:val="22"/>
          <w:lang w:val="en"/>
        </w:rPr>
        <w:t xml:space="preserve">is a cooperative learning method developed by Lyman in 1981 at the University of Maryland and focuses on interactions between students in the classroom. In its development, this method is designed to help students think about certain material, requiring students to elaborate their own ideas and share them with other students </w:t>
      </w:r>
      <w:r w:rsidR="006E2E8B" w:rsidRPr="00197956">
        <w:rPr>
          <w:rFonts w:asciiTheme="minorHAnsi" w:hAnsiTheme="minorHAnsi" w:cstheme="minorHAnsi"/>
          <w:sz w:val="22"/>
          <w:szCs w:val="22"/>
        </w:rPr>
        <w:t>(Usma, 2015)</w:t>
      </w:r>
      <w:r w:rsidR="00DA3DE7" w:rsidRPr="00197956">
        <w:rPr>
          <w:rFonts w:asciiTheme="minorHAnsi" w:hAnsiTheme="minorHAnsi" w:cstheme="minorHAnsi"/>
          <w:sz w:val="22"/>
          <w:szCs w:val="22"/>
        </w:rPr>
        <w:t>.</w:t>
      </w:r>
      <w:r w:rsidR="00E76B0A">
        <w:rPr>
          <w:rFonts w:asciiTheme="minorHAnsi" w:hAnsiTheme="minorHAnsi" w:cstheme="minorHAnsi"/>
          <w:sz w:val="22"/>
          <w:szCs w:val="22"/>
        </w:rPr>
        <w:t xml:space="preserve"> </w:t>
      </w:r>
      <w:r w:rsidR="00DB2093" w:rsidRPr="00DB2093">
        <w:rPr>
          <w:rFonts w:asciiTheme="minorHAnsi" w:hAnsiTheme="minorHAnsi" w:cstheme="minorHAnsi"/>
          <w:sz w:val="22"/>
          <w:szCs w:val="22"/>
        </w:rPr>
        <w:t>So, the TPS model can be applied with the aim that students' emotional intelligence can be improved in learning mathematics</w:t>
      </w:r>
      <w:r w:rsidR="00DB2093">
        <w:rPr>
          <w:rFonts w:asciiTheme="minorHAnsi" w:hAnsiTheme="minorHAnsi" w:cstheme="minorHAnsi"/>
          <w:sz w:val="22"/>
          <w:szCs w:val="22"/>
        </w:rPr>
        <w:t xml:space="preserve">. </w:t>
      </w:r>
      <w:r w:rsidR="004C5EF8" w:rsidRPr="004C5EF8">
        <w:rPr>
          <w:rFonts w:asciiTheme="minorHAnsi" w:hAnsiTheme="minorHAnsi" w:cstheme="minorHAnsi"/>
          <w:sz w:val="22"/>
          <w:szCs w:val="22"/>
          <w:lang w:val="en"/>
        </w:rPr>
        <w:t>Then the question arises, how can teachers improve students' emotional intelligence? Can using the TPS model help teachers to improve students' emotional intelligence in learning mathematics? Therefore, in this article, researchers will describe ways that teachers can improve emotional intelligence in learning mathematics through the TPS model. The discussion in this article is divided into three sub-topics, namely (1) emotional intelligence in learning mathematics, (2) the TPS model, and (3) increasing emotional intelligence in learning mathematics with the TPS model.</w:t>
      </w:r>
      <w:r w:rsidR="00D066D5" w:rsidRPr="00197956">
        <w:rPr>
          <w:rFonts w:asciiTheme="minorHAnsi" w:hAnsiTheme="minorHAnsi" w:cstheme="minorHAnsi"/>
          <w:sz w:val="22"/>
          <w:szCs w:val="22"/>
        </w:rPr>
        <w:t xml:space="preserve"> </w:t>
      </w:r>
    </w:p>
    <w:p w14:paraId="7594CF1B" w14:textId="77777777" w:rsidR="00F272A4" w:rsidRPr="00197956" w:rsidRDefault="00D62C5C" w:rsidP="00C74AC3">
      <w:pPr>
        <w:pStyle w:val="PythagorasHeading1"/>
        <w:rPr>
          <w:rFonts w:asciiTheme="minorHAnsi" w:hAnsiTheme="minorHAnsi" w:cstheme="minorHAnsi"/>
        </w:rPr>
      </w:pPr>
      <w:r w:rsidRPr="00197956">
        <w:rPr>
          <w:rFonts w:asciiTheme="minorHAnsi" w:hAnsiTheme="minorHAnsi" w:cstheme="minorHAnsi"/>
          <w:lang w:val="id-ID"/>
        </w:rPr>
        <w:t>M</w:t>
      </w:r>
      <w:r w:rsidR="00197956" w:rsidRPr="00197956">
        <w:rPr>
          <w:rFonts w:asciiTheme="minorHAnsi" w:hAnsiTheme="minorHAnsi" w:cstheme="minorHAnsi"/>
        </w:rPr>
        <w:t>ETHOD</w:t>
      </w:r>
    </w:p>
    <w:p w14:paraId="68DA3172" w14:textId="6512574B" w:rsidR="0016413A" w:rsidRPr="00197956" w:rsidRDefault="004C5EF8" w:rsidP="00DA3DE7">
      <w:pPr>
        <w:pStyle w:val="Pythagoras931Paragraf"/>
        <w:rPr>
          <w:rFonts w:cstheme="minorHAnsi"/>
          <w:lang w:val="en-US"/>
        </w:rPr>
      </w:pPr>
      <w:r w:rsidRPr="004C5EF8">
        <w:rPr>
          <w:rFonts w:cstheme="minorHAnsi"/>
          <w:szCs w:val="22"/>
          <w:lang w:val="en"/>
        </w:rPr>
        <w:t xml:space="preserve">The development of this article is used as a research method to examine the literature in order to find out how the development of emotional intelligence in learning mathematics with the TPS model. The steps of the literature review are as follows. (1) identifying mathematics education articles related to emotional intelligence and the TPS model, (2) investigating information about the importance of emotional intelligence and the TPS model, (3) </w:t>
      </w:r>
      <w:r w:rsidR="0035787B" w:rsidRPr="003E3739">
        <w:rPr>
          <w:lang w:val="en-US"/>
        </w:rPr>
        <w:t>data analysis</w:t>
      </w:r>
      <w:r w:rsidR="0035787B">
        <w:rPr>
          <w:lang w:val="en-US"/>
        </w:rPr>
        <w:t>,</w:t>
      </w:r>
      <w:r w:rsidR="0035787B" w:rsidRPr="003E3739">
        <w:rPr>
          <w:lang w:val="en-US"/>
        </w:rPr>
        <w:t xml:space="preserve"> where in this study in the form of opinions expressed by experts, these data are used as a basis to strengthen the research arguments compiled</w:t>
      </w:r>
      <w:r w:rsidRPr="004C5EF8">
        <w:rPr>
          <w:rFonts w:cstheme="minorHAnsi"/>
          <w:szCs w:val="22"/>
          <w:lang w:val="en"/>
        </w:rPr>
        <w:t>, and (4) making conclusion</w:t>
      </w:r>
      <w:r w:rsidR="00DA3DE7" w:rsidRPr="00197956">
        <w:rPr>
          <w:rFonts w:cstheme="minorHAnsi"/>
          <w:szCs w:val="22"/>
          <w:lang w:val="en-US"/>
        </w:rPr>
        <w:t>.</w:t>
      </w:r>
    </w:p>
    <w:p w14:paraId="15A7DF53" w14:textId="77777777" w:rsidR="00572ADF" w:rsidRPr="00197956" w:rsidRDefault="00197956" w:rsidP="00DA3DE7">
      <w:pPr>
        <w:pStyle w:val="PythagorasHeading1"/>
        <w:rPr>
          <w:rFonts w:asciiTheme="minorHAnsi" w:hAnsiTheme="minorHAnsi" w:cstheme="minorHAnsi"/>
        </w:rPr>
      </w:pPr>
      <w:r w:rsidRPr="00197956">
        <w:rPr>
          <w:rFonts w:asciiTheme="minorHAnsi" w:hAnsiTheme="minorHAnsi" w:cstheme="minorHAnsi"/>
        </w:rPr>
        <w:t>RESULTS AND DISCUSSION</w:t>
      </w:r>
    </w:p>
    <w:p w14:paraId="642F1EC2" w14:textId="77777777" w:rsidR="002E650B" w:rsidRPr="00197956" w:rsidRDefault="004C5EF8" w:rsidP="002E650B">
      <w:pPr>
        <w:pStyle w:val="PythagorasHeading1"/>
        <w:jc w:val="left"/>
        <w:rPr>
          <w:rFonts w:asciiTheme="minorHAnsi" w:hAnsiTheme="minorHAnsi" w:cstheme="minorHAnsi"/>
          <w:lang w:val="en-ID"/>
        </w:rPr>
      </w:pPr>
      <w:r>
        <w:rPr>
          <w:rFonts w:asciiTheme="minorHAnsi" w:hAnsiTheme="minorHAnsi" w:cstheme="minorHAnsi"/>
          <w:lang w:val="en-ID"/>
        </w:rPr>
        <w:t>Emotional Intelligence</w:t>
      </w:r>
    </w:p>
    <w:p w14:paraId="7EBBEDBC" w14:textId="4950002F" w:rsidR="00DA3DE7" w:rsidRPr="00197956" w:rsidRDefault="004C5EF8" w:rsidP="005A40BB">
      <w:pPr>
        <w:ind w:firstLine="720"/>
        <w:jc w:val="both"/>
        <w:rPr>
          <w:rFonts w:asciiTheme="minorHAnsi" w:hAnsiTheme="minorHAnsi" w:cstheme="minorHAnsi"/>
          <w:sz w:val="22"/>
          <w:szCs w:val="22"/>
        </w:rPr>
      </w:pPr>
      <w:r w:rsidRPr="004C5EF8">
        <w:rPr>
          <w:rFonts w:asciiTheme="minorHAnsi" w:hAnsiTheme="minorHAnsi" w:cstheme="minorHAnsi"/>
          <w:sz w:val="22"/>
          <w:szCs w:val="22"/>
          <w:lang w:val="en"/>
        </w:rPr>
        <w:t>The ability to identify emotions in oneself and others, manage emotions and relationships with others well, and motivate oneself is known as emotional intelligence</w:t>
      </w:r>
      <w:r w:rsidRPr="004C5EF8">
        <w:rPr>
          <w:rFonts w:asciiTheme="minorHAnsi" w:hAnsiTheme="minorHAnsi" w:cstheme="minorHAnsi"/>
          <w:sz w:val="22"/>
          <w:szCs w:val="22"/>
        </w:rPr>
        <w:t xml:space="preserve"> </w:t>
      </w:r>
      <w:r w:rsidR="007C602F" w:rsidRPr="00197956">
        <w:rPr>
          <w:rFonts w:asciiTheme="minorHAnsi" w:hAnsiTheme="minorHAnsi" w:cstheme="minorHAnsi"/>
          <w:sz w:val="22"/>
          <w:szCs w:val="22"/>
        </w:rPr>
        <w:t>(Meyer and Fletcher, 2007; Petrides, 2010)</w:t>
      </w:r>
      <w:r w:rsidR="00DA3DE7" w:rsidRPr="00197956">
        <w:rPr>
          <w:rFonts w:asciiTheme="minorHAnsi" w:hAnsiTheme="minorHAnsi" w:cstheme="minorHAnsi"/>
          <w:sz w:val="22"/>
          <w:szCs w:val="22"/>
        </w:rPr>
        <w:t xml:space="preserve">. </w:t>
      </w:r>
      <w:r w:rsidR="007C602F" w:rsidRPr="00197956">
        <w:rPr>
          <w:rFonts w:asciiTheme="minorHAnsi" w:hAnsiTheme="minorHAnsi" w:cstheme="minorHAnsi"/>
          <w:sz w:val="22"/>
          <w:szCs w:val="22"/>
        </w:rPr>
        <w:t xml:space="preserve">Mayer, DiPaolo, and Salovey (1990) </w:t>
      </w:r>
      <w:r w:rsidRPr="004C5EF8">
        <w:rPr>
          <w:rFonts w:asciiTheme="minorHAnsi" w:hAnsiTheme="minorHAnsi" w:cstheme="minorHAnsi"/>
          <w:sz w:val="22"/>
          <w:szCs w:val="22"/>
          <w:lang w:val="en"/>
        </w:rPr>
        <w:t>define emotional intelligence as a type of social intelligence that involves observing emotions, both one's own emotions and those of others, distinguishing them, and providing information to guide one's actions and thoughts</w:t>
      </w:r>
      <w:r w:rsidR="007C602F" w:rsidRPr="00197956">
        <w:rPr>
          <w:rFonts w:asciiTheme="minorHAnsi" w:hAnsiTheme="minorHAnsi" w:cstheme="minorHAnsi"/>
          <w:sz w:val="22"/>
          <w:szCs w:val="22"/>
        </w:rPr>
        <w:t xml:space="preserve">. </w:t>
      </w:r>
      <w:r>
        <w:rPr>
          <w:rFonts w:asciiTheme="minorHAnsi" w:hAnsiTheme="minorHAnsi" w:cstheme="minorHAnsi"/>
          <w:sz w:val="22"/>
          <w:szCs w:val="22"/>
        </w:rPr>
        <w:t>According to</w:t>
      </w:r>
      <w:r w:rsidR="007C602F" w:rsidRPr="00197956">
        <w:rPr>
          <w:rFonts w:asciiTheme="minorHAnsi" w:hAnsiTheme="minorHAnsi" w:cstheme="minorHAnsi"/>
          <w:sz w:val="22"/>
          <w:szCs w:val="22"/>
        </w:rPr>
        <w:t xml:space="preserve"> Rahman (2019)</w:t>
      </w:r>
      <w:r w:rsidR="00DA3DE7" w:rsidRPr="00197956">
        <w:rPr>
          <w:rFonts w:asciiTheme="minorHAnsi" w:hAnsiTheme="minorHAnsi" w:cstheme="minorHAnsi"/>
          <w:sz w:val="22"/>
          <w:szCs w:val="22"/>
        </w:rPr>
        <w:t xml:space="preserve"> </w:t>
      </w:r>
      <w:r w:rsidR="00F941BA">
        <w:rPr>
          <w:rFonts w:asciiTheme="minorHAnsi" w:hAnsiTheme="minorHAnsi" w:cstheme="minorHAnsi"/>
          <w:sz w:val="22"/>
          <w:szCs w:val="22"/>
        </w:rPr>
        <w:t>e</w:t>
      </w:r>
      <w:r w:rsidR="00F941BA" w:rsidRPr="00F941BA">
        <w:rPr>
          <w:rFonts w:asciiTheme="minorHAnsi" w:hAnsiTheme="minorHAnsi" w:cstheme="minorHAnsi"/>
          <w:sz w:val="22"/>
          <w:szCs w:val="22"/>
        </w:rPr>
        <w:t>motional intelligence is the ability of a person to properly adjust his emotions according to the indicators of this intelligence, so that he has good feelings and brings him to positive intelligence</w:t>
      </w:r>
      <w:r w:rsidR="007C602F" w:rsidRPr="00197956">
        <w:rPr>
          <w:rFonts w:asciiTheme="minorHAnsi" w:hAnsiTheme="minorHAnsi" w:cstheme="minorHAnsi"/>
          <w:sz w:val="22"/>
          <w:szCs w:val="22"/>
        </w:rPr>
        <w:t xml:space="preserve">. Kelly and Kaminskienė, (2016) </w:t>
      </w:r>
      <w:r w:rsidRPr="004C5EF8">
        <w:rPr>
          <w:rFonts w:asciiTheme="minorHAnsi" w:hAnsiTheme="minorHAnsi" w:cstheme="minorHAnsi"/>
          <w:sz w:val="22"/>
          <w:szCs w:val="22"/>
          <w:lang w:val="en"/>
        </w:rPr>
        <w:t>explains that emotional intelligence is the ability to manage and suppress emotions, the ability to use humor and play challenges, and the ability to handle conflict in a positive and confident way. Thus, emotional intelligence is a person's ability to control his own emotions and the emotions of others in interacting in the surrounding environment</w:t>
      </w:r>
      <w:r w:rsidR="00DA3DE7" w:rsidRPr="00197956">
        <w:rPr>
          <w:rFonts w:asciiTheme="minorHAnsi" w:hAnsiTheme="minorHAnsi" w:cstheme="minorHAnsi"/>
          <w:sz w:val="22"/>
          <w:szCs w:val="22"/>
        </w:rPr>
        <w:t>.</w:t>
      </w:r>
    </w:p>
    <w:p w14:paraId="0A9C4FC5" w14:textId="4CE47197" w:rsidR="00DA3DE7" w:rsidRPr="00197956" w:rsidRDefault="004C5EF8" w:rsidP="005A40BB">
      <w:pPr>
        <w:ind w:firstLine="720"/>
        <w:jc w:val="both"/>
        <w:rPr>
          <w:rFonts w:asciiTheme="minorHAnsi" w:hAnsiTheme="minorHAnsi" w:cstheme="minorHAnsi"/>
          <w:sz w:val="22"/>
          <w:szCs w:val="22"/>
        </w:rPr>
      </w:pPr>
      <w:r w:rsidRPr="004C5EF8">
        <w:rPr>
          <w:rFonts w:asciiTheme="minorHAnsi" w:hAnsiTheme="minorHAnsi" w:cstheme="minorHAnsi"/>
          <w:sz w:val="22"/>
          <w:szCs w:val="22"/>
          <w:lang w:val="en"/>
        </w:rPr>
        <w:t xml:space="preserve">Emotional intelligence based on </w:t>
      </w:r>
      <w:r w:rsidR="00DA3DE7" w:rsidRPr="00197956">
        <w:rPr>
          <w:rFonts w:asciiTheme="minorHAnsi" w:hAnsiTheme="minorHAnsi" w:cstheme="minorHAnsi"/>
          <w:sz w:val="22"/>
          <w:szCs w:val="22"/>
        </w:rPr>
        <w:t xml:space="preserve">Goleman </w:t>
      </w:r>
      <w:r w:rsidR="007C602F" w:rsidRPr="00197956">
        <w:rPr>
          <w:rFonts w:asciiTheme="minorHAnsi" w:hAnsiTheme="minorHAnsi" w:cstheme="minorHAnsi"/>
          <w:sz w:val="22"/>
          <w:szCs w:val="22"/>
        </w:rPr>
        <w:t xml:space="preserve">(Meyer and Fletcher, 2007) </w:t>
      </w:r>
      <w:r w:rsidR="00EB3596" w:rsidRPr="00EB3596">
        <w:rPr>
          <w:rFonts w:asciiTheme="minorHAnsi" w:hAnsiTheme="minorHAnsi" w:cstheme="minorHAnsi"/>
          <w:sz w:val="22"/>
          <w:szCs w:val="22"/>
        </w:rPr>
        <w:t>consists of five aspects, namely self-awareness, which means being aware of how we feel at a certain point and using it to guide when making life decisions, having a real view of self-efficacy and having great self-confidence. Self-regulation</w:t>
      </w:r>
      <w:r w:rsidR="00664784">
        <w:rPr>
          <w:rFonts w:asciiTheme="minorHAnsi" w:hAnsiTheme="minorHAnsi" w:cstheme="minorHAnsi"/>
          <w:sz w:val="22"/>
          <w:szCs w:val="22"/>
        </w:rPr>
        <w:t xml:space="preserve">, </w:t>
      </w:r>
      <w:r w:rsidR="00EB3596" w:rsidRPr="00EB3596">
        <w:rPr>
          <w:rFonts w:asciiTheme="minorHAnsi" w:hAnsiTheme="minorHAnsi" w:cstheme="minorHAnsi"/>
          <w:sz w:val="22"/>
          <w:szCs w:val="22"/>
        </w:rPr>
        <w:t>which is conscious to guide, express and control emotions and use them in interactions and daily activities. Self-motivation means the ability to always use enthusiasm and desire to generate energy to achieve better situations, the ability to take initiative and act effectively, and the ability to remain resilient in the face of disappointment and failure. Empathy is the ability to feel other people's feelings, understand other people's perspectives, trust each other and the ability to interact with different individuals. Social skills in the form of skills in interacting with various people around them</w:t>
      </w:r>
      <w:r w:rsidR="00DA3DE7" w:rsidRPr="00197956">
        <w:rPr>
          <w:rFonts w:asciiTheme="minorHAnsi" w:hAnsiTheme="minorHAnsi" w:cstheme="minorHAnsi"/>
          <w:sz w:val="22"/>
          <w:szCs w:val="22"/>
        </w:rPr>
        <w:t xml:space="preserve">. </w:t>
      </w:r>
    </w:p>
    <w:p w14:paraId="29ACDF75" w14:textId="77777777" w:rsidR="00DA3DE7" w:rsidRPr="00197956" w:rsidRDefault="00DA3DE7" w:rsidP="005A40BB">
      <w:pPr>
        <w:jc w:val="both"/>
        <w:rPr>
          <w:rFonts w:asciiTheme="minorHAnsi" w:hAnsiTheme="minorHAnsi" w:cstheme="minorHAnsi"/>
          <w:b/>
          <w:bCs/>
          <w:sz w:val="22"/>
          <w:szCs w:val="22"/>
        </w:rPr>
      </w:pPr>
      <w:r w:rsidRPr="00197956">
        <w:rPr>
          <w:rFonts w:asciiTheme="minorHAnsi" w:hAnsiTheme="minorHAnsi" w:cstheme="minorHAnsi"/>
          <w:sz w:val="22"/>
          <w:szCs w:val="22"/>
        </w:rPr>
        <w:lastRenderedPageBreak/>
        <w:tab/>
      </w:r>
      <w:r w:rsidR="00EB3596" w:rsidRPr="00EB3596">
        <w:rPr>
          <w:rFonts w:asciiTheme="minorHAnsi" w:hAnsiTheme="minorHAnsi" w:cstheme="minorHAnsi"/>
          <w:sz w:val="22"/>
          <w:szCs w:val="22"/>
        </w:rPr>
        <w:t>Based on the five aspects described above, it can be explained the indicators of each aspect in learning mathematics. Indicators of self-awareness are indicated by the ability to recognize one's strengths and limitations as well as beliefs about one's own abilities. Indicators of self-regulation are shown by being responsible for their actions and accepting and being open to new views. Indicators of self-motivation are indicated by the drive to be better to achieve optimal results. Indicators of empathy are shown by being able to understand and respect the opinions of others. Indicators of social skills are demonstrated by collaborating with others for a common goal</w:t>
      </w:r>
      <w:r w:rsidRPr="00197956">
        <w:rPr>
          <w:rFonts w:asciiTheme="minorHAnsi" w:hAnsiTheme="minorHAnsi" w:cstheme="minorHAnsi"/>
          <w:sz w:val="22"/>
          <w:szCs w:val="22"/>
        </w:rPr>
        <w:t>.</w:t>
      </w:r>
    </w:p>
    <w:p w14:paraId="68054964" w14:textId="77777777" w:rsidR="00DA3DE7" w:rsidRPr="00197956" w:rsidRDefault="00DA3DE7" w:rsidP="005A40BB">
      <w:pPr>
        <w:jc w:val="both"/>
        <w:rPr>
          <w:rFonts w:asciiTheme="minorHAnsi" w:hAnsiTheme="minorHAnsi" w:cstheme="minorHAnsi"/>
          <w:sz w:val="22"/>
          <w:szCs w:val="22"/>
        </w:rPr>
      </w:pPr>
      <w:r w:rsidRPr="00197956">
        <w:rPr>
          <w:rFonts w:asciiTheme="minorHAnsi" w:hAnsiTheme="minorHAnsi" w:cstheme="minorHAnsi"/>
          <w:sz w:val="22"/>
          <w:szCs w:val="22"/>
        </w:rPr>
        <w:tab/>
      </w:r>
      <w:r w:rsidR="00EB3596" w:rsidRPr="00EB3596">
        <w:rPr>
          <w:rFonts w:asciiTheme="minorHAnsi" w:hAnsiTheme="minorHAnsi" w:cstheme="minorHAnsi"/>
          <w:sz w:val="22"/>
          <w:szCs w:val="22"/>
        </w:rPr>
        <w:t xml:space="preserve">Emotional intelligence will encourage good learning behavior and make the learning experience more effective </w:t>
      </w:r>
      <w:r w:rsidR="007C602F" w:rsidRPr="00197956">
        <w:rPr>
          <w:rFonts w:asciiTheme="minorHAnsi" w:hAnsiTheme="minorHAnsi" w:cstheme="minorHAnsi"/>
          <w:sz w:val="22"/>
          <w:szCs w:val="22"/>
        </w:rPr>
        <w:t>(Ningsih, et al., 2016)</w:t>
      </w:r>
      <w:r w:rsidRPr="00197956">
        <w:rPr>
          <w:rFonts w:asciiTheme="minorHAnsi" w:hAnsiTheme="minorHAnsi" w:cstheme="minorHAnsi"/>
          <w:sz w:val="22"/>
          <w:szCs w:val="22"/>
        </w:rPr>
        <w:t xml:space="preserve">. </w:t>
      </w:r>
      <w:r w:rsidR="00EB3596" w:rsidRPr="00EB3596">
        <w:rPr>
          <w:rFonts w:asciiTheme="minorHAnsi" w:hAnsiTheme="minorHAnsi" w:cstheme="minorHAnsi"/>
          <w:sz w:val="22"/>
          <w:szCs w:val="22"/>
        </w:rPr>
        <w:t>The right learning model will help students improve their emotional intelligence. Thus, it will be described how to improve emotional intelligence by analyzing the relationship between emotional intelligence indicators and the TPS model stage</w:t>
      </w:r>
      <w:r w:rsidRPr="00197956">
        <w:rPr>
          <w:rFonts w:asciiTheme="minorHAnsi" w:hAnsiTheme="minorHAnsi" w:cstheme="minorHAnsi"/>
          <w:sz w:val="22"/>
          <w:szCs w:val="22"/>
        </w:rPr>
        <w:t xml:space="preserve">. </w:t>
      </w:r>
    </w:p>
    <w:p w14:paraId="2DDD82E1" w14:textId="77777777" w:rsidR="002E650B" w:rsidRPr="00197956" w:rsidRDefault="002E650B" w:rsidP="002E650B">
      <w:pPr>
        <w:pStyle w:val="PythagorasHeading1"/>
        <w:jc w:val="left"/>
        <w:rPr>
          <w:rFonts w:asciiTheme="minorHAnsi" w:hAnsiTheme="minorHAnsi" w:cstheme="minorHAnsi"/>
          <w:lang w:val="en-ID"/>
        </w:rPr>
      </w:pPr>
      <w:r w:rsidRPr="00197956">
        <w:rPr>
          <w:rFonts w:asciiTheme="minorHAnsi" w:hAnsiTheme="minorHAnsi" w:cstheme="minorHAnsi"/>
          <w:lang w:val="en-ID"/>
        </w:rPr>
        <w:t>TPS</w:t>
      </w:r>
      <w:r w:rsidR="00EB3596">
        <w:rPr>
          <w:rFonts w:asciiTheme="minorHAnsi" w:hAnsiTheme="minorHAnsi" w:cstheme="minorHAnsi"/>
          <w:lang w:val="en-ID"/>
        </w:rPr>
        <w:t xml:space="preserve"> Model</w:t>
      </w:r>
    </w:p>
    <w:p w14:paraId="25F2CDC1" w14:textId="77777777" w:rsidR="00DA3DE7" w:rsidRPr="00197956" w:rsidRDefault="00EB3596" w:rsidP="005A40BB">
      <w:pPr>
        <w:ind w:firstLine="720"/>
        <w:jc w:val="both"/>
        <w:rPr>
          <w:rFonts w:asciiTheme="minorHAnsi" w:hAnsiTheme="minorHAnsi" w:cstheme="minorHAnsi"/>
          <w:sz w:val="22"/>
          <w:szCs w:val="22"/>
        </w:rPr>
      </w:pPr>
      <w:r w:rsidRPr="00EB3596">
        <w:rPr>
          <w:rFonts w:asciiTheme="minorHAnsi" w:hAnsiTheme="minorHAnsi" w:cstheme="minorHAnsi"/>
          <w:sz w:val="22"/>
          <w:szCs w:val="22"/>
          <w:lang w:val="en"/>
        </w:rPr>
        <w:t xml:space="preserve">The teaching model that focuses on student activities in small groups and collaborates in the context of academic learning is known as the cooperative model </w:t>
      </w:r>
      <w:r w:rsidR="007C602F" w:rsidRPr="00197956">
        <w:rPr>
          <w:rFonts w:asciiTheme="minorHAnsi" w:hAnsiTheme="minorHAnsi" w:cstheme="minorHAnsi"/>
          <w:sz w:val="22"/>
          <w:szCs w:val="22"/>
        </w:rPr>
        <w:t xml:space="preserve">(Tanujaya and Mumu, 2019) </w:t>
      </w:r>
      <w:r w:rsidRPr="00EB3596">
        <w:rPr>
          <w:rFonts w:asciiTheme="minorHAnsi" w:hAnsiTheme="minorHAnsi" w:cstheme="minorHAnsi"/>
          <w:sz w:val="22"/>
          <w:szCs w:val="22"/>
          <w:lang w:val="en"/>
        </w:rPr>
        <w:t>Cooperative learning is a model designed in which the teacher plays an important role as a facilitator, providing a bridge of understanding for students at a higher level according to their grades</w:t>
      </w:r>
      <w:r w:rsidRPr="00EB3596">
        <w:rPr>
          <w:rFonts w:asciiTheme="minorHAnsi" w:hAnsiTheme="minorHAnsi" w:cstheme="minorHAnsi"/>
          <w:sz w:val="22"/>
          <w:szCs w:val="22"/>
        </w:rPr>
        <w:t xml:space="preserve"> </w:t>
      </w:r>
      <w:r w:rsidR="007C602F" w:rsidRPr="00197956">
        <w:rPr>
          <w:rFonts w:asciiTheme="minorHAnsi" w:hAnsiTheme="minorHAnsi" w:cstheme="minorHAnsi"/>
          <w:sz w:val="22"/>
          <w:szCs w:val="22"/>
        </w:rPr>
        <w:t>(Kurjum, et al., 2020)</w:t>
      </w:r>
      <w:r w:rsidR="00DA3DE7" w:rsidRPr="00197956">
        <w:rPr>
          <w:rFonts w:asciiTheme="minorHAnsi" w:hAnsiTheme="minorHAnsi" w:cstheme="minorHAnsi"/>
          <w:sz w:val="22"/>
          <w:szCs w:val="22"/>
        </w:rPr>
        <w:t xml:space="preserve">. </w:t>
      </w:r>
      <w:r w:rsidRPr="00EB3596">
        <w:rPr>
          <w:rFonts w:asciiTheme="minorHAnsi" w:hAnsiTheme="minorHAnsi" w:cstheme="minorHAnsi"/>
          <w:sz w:val="22"/>
          <w:szCs w:val="22"/>
          <w:lang w:val="en"/>
        </w:rPr>
        <w:t>The cooperative model has many types that can be applied by teachers as a learning strategy. One type of learning technique is Think, Pair, Share (TPS)</w:t>
      </w:r>
      <w:r>
        <w:rPr>
          <w:rFonts w:asciiTheme="minorHAnsi" w:hAnsiTheme="minorHAnsi" w:cstheme="minorHAnsi"/>
          <w:sz w:val="22"/>
          <w:szCs w:val="22"/>
          <w:lang w:val="en"/>
        </w:rPr>
        <w:t>.</w:t>
      </w:r>
    </w:p>
    <w:p w14:paraId="6ECC1AAF" w14:textId="77777777" w:rsidR="00DA3DE7" w:rsidRPr="00197956" w:rsidRDefault="00DA3DE7" w:rsidP="005A40BB">
      <w:pPr>
        <w:jc w:val="both"/>
        <w:rPr>
          <w:rFonts w:asciiTheme="minorHAnsi" w:hAnsiTheme="minorHAnsi" w:cstheme="minorHAnsi"/>
          <w:sz w:val="22"/>
          <w:szCs w:val="22"/>
        </w:rPr>
      </w:pPr>
      <w:r w:rsidRPr="00197956">
        <w:rPr>
          <w:rFonts w:asciiTheme="minorHAnsi" w:hAnsiTheme="minorHAnsi" w:cstheme="minorHAnsi"/>
          <w:sz w:val="22"/>
          <w:szCs w:val="22"/>
        </w:rPr>
        <w:tab/>
      </w:r>
      <w:r w:rsidR="001177D5" w:rsidRPr="001177D5">
        <w:rPr>
          <w:rFonts w:asciiTheme="minorHAnsi" w:hAnsiTheme="minorHAnsi" w:cstheme="minorHAnsi"/>
          <w:sz w:val="22"/>
          <w:szCs w:val="22"/>
          <w:lang w:val="en"/>
        </w:rPr>
        <w:t xml:space="preserve">TPS is an instructional strategy in persuading student involvement in the classroom by giving students topics to think about in order to generate individual opinions and share them with others </w:t>
      </w:r>
      <w:r w:rsidR="007C602F" w:rsidRPr="00197956">
        <w:rPr>
          <w:rFonts w:asciiTheme="minorHAnsi" w:hAnsiTheme="minorHAnsi" w:cstheme="minorHAnsi"/>
          <w:sz w:val="22"/>
          <w:szCs w:val="22"/>
        </w:rPr>
        <w:t>(Sucaromana, 2012)</w:t>
      </w:r>
      <w:r w:rsidRPr="00197956">
        <w:rPr>
          <w:rFonts w:asciiTheme="minorHAnsi" w:hAnsiTheme="minorHAnsi" w:cstheme="minorHAnsi"/>
          <w:sz w:val="22"/>
          <w:szCs w:val="22"/>
        </w:rPr>
        <w:t xml:space="preserve">. </w:t>
      </w:r>
      <w:r w:rsidR="001177D5">
        <w:rPr>
          <w:rFonts w:asciiTheme="minorHAnsi" w:hAnsiTheme="minorHAnsi" w:cstheme="minorHAnsi"/>
          <w:sz w:val="22"/>
          <w:szCs w:val="22"/>
        </w:rPr>
        <w:t>According to</w:t>
      </w:r>
      <w:r w:rsidR="007C602F" w:rsidRPr="00197956">
        <w:rPr>
          <w:rFonts w:asciiTheme="minorHAnsi" w:hAnsiTheme="minorHAnsi" w:cstheme="minorHAnsi"/>
          <w:sz w:val="22"/>
          <w:szCs w:val="22"/>
        </w:rPr>
        <w:t xml:space="preserve"> Kothiyal et al., (2012)</w:t>
      </w:r>
      <w:r w:rsidRPr="00197956">
        <w:rPr>
          <w:rFonts w:asciiTheme="minorHAnsi" w:hAnsiTheme="minorHAnsi" w:cstheme="minorHAnsi"/>
          <w:sz w:val="22"/>
          <w:szCs w:val="22"/>
        </w:rPr>
        <w:t xml:space="preserve"> </w:t>
      </w:r>
      <w:r w:rsidRPr="00197956">
        <w:rPr>
          <w:rFonts w:asciiTheme="minorHAnsi" w:hAnsiTheme="minorHAnsi" w:cstheme="minorHAnsi"/>
          <w:i/>
          <w:iCs/>
          <w:sz w:val="22"/>
          <w:szCs w:val="22"/>
        </w:rPr>
        <w:t>Think-pair-share</w:t>
      </w:r>
      <w:r w:rsidRPr="00197956">
        <w:rPr>
          <w:rFonts w:asciiTheme="minorHAnsi" w:hAnsiTheme="minorHAnsi" w:cstheme="minorHAnsi"/>
          <w:sz w:val="22"/>
          <w:szCs w:val="22"/>
        </w:rPr>
        <w:t xml:space="preserve"> (TPS) </w:t>
      </w:r>
      <w:r w:rsidR="001177D5" w:rsidRPr="001177D5">
        <w:rPr>
          <w:rFonts w:asciiTheme="minorHAnsi" w:hAnsiTheme="minorHAnsi" w:cstheme="minorHAnsi"/>
          <w:sz w:val="22"/>
          <w:szCs w:val="22"/>
          <w:lang w:val="en"/>
        </w:rPr>
        <w:t>is an active learning strategy in the classroom where students work on activities, first individually, then in pairs and finally as a whole in class. TPS has three parts: time to reflect, collaborate with a partner, and collaborate with the larger group</w:t>
      </w:r>
      <w:r w:rsidR="001177D5" w:rsidRPr="001177D5">
        <w:rPr>
          <w:rFonts w:asciiTheme="minorHAnsi" w:hAnsiTheme="minorHAnsi" w:cstheme="minorHAnsi"/>
          <w:sz w:val="22"/>
          <w:szCs w:val="22"/>
        </w:rPr>
        <w:t xml:space="preserve"> </w:t>
      </w:r>
      <w:r w:rsidR="007C602F" w:rsidRPr="00197956">
        <w:rPr>
          <w:rFonts w:asciiTheme="minorHAnsi" w:hAnsiTheme="minorHAnsi" w:cstheme="minorHAnsi"/>
          <w:sz w:val="22"/>
          <w:szCs w:val="22"/>
        </w:rPr>
        <w:t>(Bamiro, 2015)</w:t>
      </w:r>
      <w:r w:rsidRPr="00197956">
        <w:rPr>
          <w:rFonts w:asciiTheme="minorHAnsi" w:hAnsiTheme="minorHAnsi" w:cstheme="minorHAnsi"/>
          <w:sz w:val="22"/>
          <w:szCs w:val="22"/>
        </w:rPr>
        <w:t xml:space="preserve">. </w:t>
      </w:r>
      <w:r w:rsidR="001177D5" w:rsidRPr="001177D5">
        <w:rPr>
          <w:rFonts w:asciiTheme="minorHAnsi" w:hAnsiTheme="minorHAnsi" w:cstheme="minorHAnsi"/>
          <w:sz w:val="22"/>
          <w:szCs w:val="22"/>
          <w:lang w:val="en"/>
        </w:rPr>
        <w:t>is an active learning strategy in the classroom where students work on activities, first individually, then in pairs and finally as a whole in class. TPS has three parts: time to reflect, collaborate with a partner, and collaborate with the larger group</w:t>
      </w:r>
      <w:r w:rsidRPr="00197956">
        <w:rPr>
          <w:rFonts w:asciiTheme="minorHAnsi" w:hAnsiTheme="minorHAnsi" w:cstheme="minorHAnsi"/>
          <w:sz w:val="22"/>
          <w:szCs w:val="22"/>
        </w:rPr>
        <w:t>.</w:t>
      </w:r>
    </w:p>
    <w:p w14:paraId="2728A6E8" w14:textId="77777777" w:rsidR="00DA3DE7" w:rsidRPr="00197956" w:rsidRDefault="001177D5" w:rsidP="005A40BB">
      <w:pPr>
        <w:ind w:firstLine="567"/>
        <w:jc w:val="both"/>
        <w:rPr>
          <w:rFonts w:asciiTheme="minorHAnsi" w:hAnsiTheme="minorHAnsi" w:cstheme="minorHAnsi"/>
          <w:sz w:val="22"/>
          <w:szCs w:val="22"/>
        </w:rPr>
      </w:pPr>
      <w:r w:rsidRPr="001177D5">
        <w:rPr>
          <w:rFonts w:asciiTheme="minorHAnsi" w:hAnsiTheme="minorHAnsi" w:cstheme="minorHAnsi"/>
          <w:sz w:val="22"/>
          <w:szCs w:val="22"/>
          <w:lang w:val="en"/>
        </w:rPr>
        <w:t xml:space="preserve">The TPS learning stages are Think, Pair, and Share. According to Slavin in Wahyuni, the TPS learning stage begins with the teacher presenting the lesson in class and the students are divided into several teams. In the Think stage, the teacher asks questions in class and students are instructed to think of the answers themselves. In the Pair stage, students are asked to work with their partner to agree on an answer. The last stage, namely Share, the teacher asks students to share the agreed answers in their groups with other class members </w:t>
      </w:r>
      <w:r w:rsidR="007C602F" w:rsidRPr="00197956">
        <w:rPr>
          <w:rFonts w:asciiTheme="minorHAnsi" w:hAnsiTheme="minorHAnsi" w:cstheme="minorHAnsi"/>
          <w:sz w:val="22"/>
          <w:szCs w:val="22"/>
        </w:rPr>
        <w:t>(Wahyuni, 2018)</w:t>
      </w:r>
      <w:r w:rsidR="00DA3DE7" w:rsidRPr="00197956">
        <w:rPr>
          <w:rFonts w:asciiTheme="minorHAnsi" w:hAnsiTheme="minorHAnsi" w:cstheme="minorHAnsi"/>
          <w:sz w:val="22"/>
          <w:szCs w:val="22"/>
        </w:rPr>
        <w:t>.</w:t>
      </w:r>
    </w:p>
    <w:p w14:paraId="5D97EB85" w14:textId="77FA2AB2" w:rsidR="002E650B" w:rsidRDefault="001177D5" w:rsidP="002E650B">
      <w:pPr>
        <w:ind w:firstLine="567"/>
        <w:jc w:val="both"/>
        <w:rPr>
          <w:rFonts w:asciiTheme="minorHAnsi" w:hAnsiTheme="minorHAnsi" w:cstheme="minorHAnsi"/>
          <w:sz w:val="22"/>
          <w:szCs w:val="22"/>
        </w:rPr>
      </w:pPr>
      <w:r w:rsidRPr="001177D5">
        <w:rPr>
          <w:rFonts w:asciiTheme="minorHAnsi" w:hAnsiTheme="minorHAnsi" w:cstheme="minorHAnsi"/>
          <w:sz w:val="22"/>
          <w:szCs w:val="22"/>
          <w:lang w:val="en"/>
        </w:rPr>
        <w:t xml:space="preserve">Activities in Think, Pair, and Share can have a positive impact on students' cognitive and psychological abilities. Various research findings confirm that the TPS model can improve various aspects of mathematics learning, such as communication skills </w:t>
      </w:r>
      <w:r w:rsidR="007C602F" w:rsidRPr="00197956">
        <w:rPr>
          <w:rFonts w:asciiTheme="minorHAnsi" w:hAnsiTheme="minorHAnsi" w:cstheme="minorHAnsi"/>
          <w:sz w:val="22"/>
          <w:szCs w:val="22"/>
        </w:rPr>
        <w:t>(Rifa’i and Lestari, 2018;</w:t>
      </w:r>
      <w:r w:rsidR="007C602F" w:rsidRPr="00197956">
        <w:rPr>
          <w:rFonts w:asciiTheme="minorHAnsi" w:hAnsiTheme="minorHAnsi" w:cstheme="minorHAnsi"/>
          <w:noProof/>
        </w:rPr>
        <w:t xml:space="preserve"> </w:t>
      </w:r>
      <w:r w:rsidR="007C602F" w:rsidRPr="00197956">
        <w:rPr>
          <w:rFonts w:asciiTheme="minorHAnsi" w:hAnsiTheme="minorHAnsi" w:cstheme="minorHAnsi"/>
          <w:sz w:val="22"/>
          <w:szCs w:val="22"/>
        </w:rPr>
        <w:t>Nurulaeni and Ismaniati, 2019)</w:t>
      </w:r>
      <w:r w:rsidR="00DA3DE7" w:rsidRPr="00197956">
        <w:rPr>
          <w:rFonts w:asciiTheme="minorHAnsi" w:hAnsiTheme="minorHAnsi" w:cstheme="minorHAnsi"/>
          <w:sz w:val="22"/>
          <w:szCs w:val="22"/>
        </w:rPr>
        <w:t xml:space="preserve">, </w:t>
      </w:r>
      <w:r>
        <w:rPr>
          <w:rFonts w:asciiTheme="minorHAnsi" w:hAnsiTheme="minorHAnsi" w:cstheme="minorHAnsi"/>
          <w:sz w:val="22"/>
          <w:szCs w:val="22"/>
        </w:rPr>
        <w:t>learning motivation</w:t>
      </w:r>
      <w:r w:rsidR="00DA3DE7" w:rsidRPr="00197956">
        <w:rPr>
          <w:rFonts w:asciiTheme="minorHAnsi" w:hAnsiTheme="minorHAnsi" w:cstheme="minorHAnsi"/>
          <w:sz w:val="22"/>
          <w:szCs w:val="22"/>
        </w:rPr>
        <w:t xml:space="preserve"> </w:t>
      </w:r>
      <w:r w:rsidR="007C602F" w:rsidRPr="00197956">
        <w:rPr>
          <w:rFonts w:asciiTheme="minorHAnsi" w:hAnsiTheme="minorHAnsi" w:cstheme="minorHAnsi"/>
          <w:sz w:val="22"/>
          <w:szCs w:val="22"/>
        </w:rPr>
        <w:t>(Irma et al., 2020;</w:t>
      </w:r>
      <w:r w:rsidR="007C602F" w:rsidRPr="00197956">
        <w:rPr>
          <w:rFonts w:asciiTheme="minorHAnsi" w:hAnsiTheme="minorHAnsi" w:cstheme="minorHAnsi"/>
          <w:noProof/>
        </w:rPr>
        <w:t xml:space="preserve"> </w:t>
      </w:r>
      <w:r w:rsidR="007C602F" w:rsidRPr="00197956">
        <w:rPr>
          <w:rFonts w:asciiTheme="minorHAnsi" w:hAnsiTheme="minorHAnsi" w:cstheme="minorHAnsi"/>
          <w:sz w:val="22"/>
          <w:szCs w:val="22"/>
        </w:rPr>
        <w:t xml:space="preserve">Razak, 2016), </w:t>
      </w:r>
      <w:r>
        <w:rPr>
          <w:rFonts w:asciiTheme="minorHAnsi" w:hAnsiTheme="minorHAnsi" w:cstheme="minorHAnsi"/>
          <w:sz w:val="22"/>
          <w:szCs w:val="22"/>
        </w:rPr>
        <w:t>student interest in mathematics</w:t>
      </w:r>
      <w:r w:rsidR="007C602F" w:rsidRPr="00197956">
        <w:rPr>
          <w:rFonts w:asciiTheme="minorHAnsi" w:hAnsiTheme="minorHAnsi" w:cstheme="minorHAnsi"/>
          <w:sz w:val="22"/>
          <w:szCs w:val="22"/>
        </w:rPr>
        <w:t xml:space="preserve"> (Hetika, et al., 2018), </w:t>
      </w:r>
      <w:r>
        <w:rPr>
          <w:rFonts w:asciiTheme="minorHAnsi" w:hAnsiTheme="minorHAnsi" w:cstheme="minorHAnsi"/>
          <w:sz w:val="22"/>
          <w:szCs w:val="22"/>
        </w:rPr>
        <w:t>self-confidence</w:t>
      </w:r>
      <w:r w:rsidR="007C602F" w:rsidRPr="00197956">
        <w:rPr>
          <w:rFonts w:asciiTheme="minorHAnsi" w:hAnsiTheme="minorHAnsi" w:cstheme="minorHAnsi"/>
          <w:sz w:val="22"/>
          <w:szCs w:val="22"/>
        </w:rPr>
        <w:t xml:space="preserve"> (Herman, et al., 2021), </w:t>
      </w:r>
      <w:r>
        <w:rPr>
          <w:rFonts w:asciiTheme="minorHAnsi" w:hAnsiTheme="minorHAnsi" w:cstheme="minorHAnsi"/>
          <w:sz w:val="22"/>
          <w:szCs w:val="22"/>
        </w:rPr>
        <w:t>critical thinking</w:t>
      </w:r>
      <w:r w:rsidR="007C602F" w:rsidRPr="00197956">
        <w:rPr>
          <w:rFonts w:asciiTheme="minorHAnsi" w:hAnsiTheme="minorHAnsi" w:cstheme="minorHAnsi"/>
          <w:sz w:val="22"/>
          <w:szCs w:val="22"/>
        </w:rPr>
        <w:t xml:space="preserve"> (Nugraha, et al., 2018)</w:t>
      </w:r>
      <w:r w:rsidR="00DA3DE7" w:rsidRPr="00197956">
        <w:rPr>
          <w:rFonts w:asciiTheme="minorHAnsi" w:hAnsiTheme="minorHAnsi" w:cstheme="minorHAnsi"/>
          <w:sz w:val="22"/>
          <w:szCs w:val="22"/>
        </w:rPr>
        <w:t xml:space="preserve">, </w:t>
      </w:r>
      <w:r>
        <w:rPr>
          <w:rFonts w:asciiTheme="minorHAnsi" w:hAnsiTheme="minorHAnsi" w:cstheme="minorHAnsi"/>
          <w:sz w:val="22"/>
          <w:szCs w:val="22"/>
        </w:rPr>
        <w:t>and concept comprehention ability</w:t>
      </w:r>
      <w:r w:rsidR="002E650B" w:rsidRPr="00197956">
        <w:rPr>
          <w:rFonts w:asciiTheme="minorHAnsi" w:hAnsiTheme="minorHAnsi" w:cstheme="minorHAnsi"/>
          <w:sz w:val="22"/>
          <w:szCs w:val="22"/>
        </w:rPr>
        <w:t xml:space="preserve"> (Asria, 2019)</w:t>
      </w:r>
      <w:r w:rsidR="00DA3DE7" w:rsidRPr="00197956">
        <w:rPr>
          <w:rFonts w:asciiTheme="minorHAnsi" w:hAnsiTheme="minorHAnsi" w:cstheme="minorHAnsi"/>
          <w:sz w:val="22"/>
          <w:szCs w:val="22"/>
        </w:rPr>
        <w:t xml:space="preserve">. </w:t>
      </w:r>
      <w:r w:rsidRPr="001177D5">
        <w:rPr>
          <w:rFonts w:asciiTheme="minorHAnsi" w:hAnsiTheme="minorHAnsi" w:cstheme="minorHAnsi"/>
          <w:sz w:val="22"/>
          <w:szCs w:val="22"/>
          <w:lang w:val="en"/>
        </w:rPr>
        <w:t>TPS has been recommended for its advantages of allowing students to express their reasons, reflect their way of thinking, and obtain immediate feedback for their understandin</w:t>
      </w:r>
      <w:r>
        <w:rPr>
          <w:rFonts w:asciiTheme="minorHAnsi" w:hAnsiTheme="minorHAnsi" w:cstheme="minorHAnsi"/>
          <w:sz w:val="22"/>
          <w:szCs w:val="22"/>
        </w:rPr>
        <w:t xml:space="preserve">g </w:t>
      </w:r>
      <w:r w:rsidR="002E650B" w:rsidRPr="00197956">
        <w:rPr>
          <w:rFonts w:asciiTheme="minorHAnsi" w:hAnsiTheme="minorHAnsi" w:cstheme="minorHAnsi"/>
          <w:sz w:val="22"/>
          <w:szCs w:val="22"/>
        </w:rPr>
        <w:t>(Ardiyani, et al., 2019)</w:t>
      </w:r>
      <w:r w:rsidR="00DA3DE7" w:rsidRPr="00197956">
        <w:rPr>
          <w:rFonts w:asciiTheme="minorHAnsi" w:hAnsiTheme="minorHAnsi" w:cstheme="minorHAnsi"/>
          <w:sz w:val="22"/>
          <w:szCs w:val="22"/>
        </w:rPr>
        <w:t>.</w:t>
      </w:r>
      <w:r w:rsidR="00C861A6">
        <w:rPr>
          <w:rFonts w:asciiTheme="minorHAnsi" w:hAnsiTheme="minorHAnsi" w:cstheme="minorHAnsi"/>
          <w:sz w:val="22"/>
          <w:szCs w:val="22"/>
        </w:rPr>
        <w:t xml:space="preserve"> </w:t>
      </w:r>
    </w:p>
    <w:p w14:paraId="5344DB62" w14:textId="4A46FDC8" w:rsidR="00895CDE" w:rsidRPr="00197956" w:rsidRDefault="00895CDE" w:rsidP="002E650B">
      <w:pPr>
        <w:ind w:firstLine="567"/>
        <w:jc w:val="both"/>
        <w:rPr>
          <w:rFonts w:asciiTheme="minorHAnsi" w:hAnsiTheme="minorHAnsi" w:cstheme="minorHAnsi"/>
          <w:sz w:val="22"/>
          <w:szCs w:val="22"/>
        </w:rPr>
      </w:pPr>
      <w:r w:rsidRPr="00895CDE">
        <w:rPr>
          <w:rFonts w:asciiTheme="minorHAnsi" w:hAnsiTheme="minorHAnsi" w:cstheme="minorHAnsi"/>
          <w:sz w:val="22"/>
          <w:szCs w:val="22"/>
        </w:rPr>
        <w:t xml:space="preserve">However, there are several obstacles to using the TPS model in learning mathematics. </w:t>
      </w:r>
      <w:r w:rsidR="006B43FB" w:rsidRPr="006B43FB">
        <w:rPr>
          <w:rFonts w:asciiTheme="minorHAnsi" w:hAnsiTheme="minorHAnsi" w:cstheme="minorHAnsi"/>
          <w:sz w:val="22"/>
          <w:szCs w:val="22"/>
        </w:rPr>
        <w:t>Tanujaya et al (201</w:t>
      </w:r>
      <w:r w:rsidR="00D05666">
        <w:rPr>
          <w:rFonts w:asciiTheme="minorHAnsi" w:hAnsiTheme="minorHAnsi" w:cstheme="minorHAnsi"/>
          <w:sz w:val="22"/>
          <w:szCs w:val="22"/>
        </w:rPr>
        <w:t>7</w:t>
      </w:r>
      <w:r w:rsidR="006B43FB" w:rsidRPr="006B43FB">
        <w:rPr>
          <w:rFonts w:asciiTheme="minorHAnsi" w:hAnsiTheme="minorHAnsi" w:cstheme="minorHAnsi"/>
          <w:sz w:val="22"/>
          <w:szCs w:val="22"/>
        </w:rPr>
        <w:t>) found that the application of the TPS model did not work well in the mathematics learning process because of the dominance of intelligent students in class activities. This dominance occurs because students with low abilities are always waiting for the presentation of the smarter students. As a result, not all students are involved in the process of generating solutions even though all students have the answer to the task</w:t>
      </w:r>
      <w:r w:rsidR="006B43FB">
        <w:rPr>
          <w:rFonts w:asciiTheme="minorHAnsi" w:hAnsiTheme="minorHAnsi" w:cstheme="minorHAnsi"/>
          <w:sz w:val="22"/>
          <w:szCs w:val="22"/>
        </w:rPr>
        <w:t>.</w:t>
      </w:r>
      <w:r w:rsidR="00D05666">
        <w:rPr>
          <w:rFonts w:asciiTheme="minorHAnsi" w:hAnsiTheme="minorHAnsi" w:cstheme="minorHAnsi"/>
          <w:sz w:val="22"/>
          <w:szCs w:val="22"/>
        </w:rPr>
        <w:t xml:space="preserve"> </w:t>
      </w:r>
      <w:r w:rsidR="00D05666" w:rsidRPr="00D05666">
        <w:rPr>
          <w:rFonts w:asciiTheme="minorHAnsi" w:hAnsiTheme="minorHAnsi" w:cstheme="minorHAnsi"/>
          <w:sz w:val="22"/>
          <w:szCs w:val="22"/>
        </w:rPr>
        <w:t>In addition, Tanujaya (2019) revealed that students with lower knowledge levels were shy to express opinions during discussions in learning with the TPS model.</w:t>
      </w:r>
    </w:p>
    <w:p w14:paraId="283333F8" w14:textId="77777777" w:rsidR="002E650B" w:rsidRPr="001177D5" w:rsidRDefault="001177D5" w:rsidP="002E650B">
      <w:pPr>
        <w:pStyle w:val="PythagorasHeading1"/>
        <w:jc w:val="left"/>
        <w:rPr>
          <w:rFonts w:cstheme="minorHAnsi"/>
          <w:lang w:val="en"/>
        </w:rPr>
      </w:pPr>
      <w:r w:rsidRPr="001177D5">
        <w:rPr>
          <w:rFonts w:cstheme="minorHAnsi"/>
          <w:lang w:val="en"/>
        </w:rPr>
        <w:t>Improving Emotional Intelligence Through TPS Model in Mathematics Learning</w:t>
      </w:r>
    </w:p>
    <w:p w14:paraId="4F5D8516" w14:textId="77777777" w:rsidR="00F460A9" w:rsidRDefault="001177D5" w:rsidP="00F460A9">
      <w:pPr>
        <w:ind w:firstLine="720"/>
        <w:jc w:val="both"/>
        <w:rPr>
          <w:rFonts w:asciiTheme="minorHAnsi" w:hAnsiTheme="minorHAnsi" w:cstheme="minorHAnsi"/>
          <w:sz w:val="22"/>
          <w:szCs w:val="22"/>
        </w:rPr>
      </w:pPr>
      <w:r w:rsidRPr="001177D5">
        <w:rPr>
          <w:rFonts w:asciiTheme="minorHAnsi" w:hAnsiTheme="minorHAnsi" w:cstheme="minorHAnsi"/>
          <w:sz w:val="22"/>
          <w:szCs w:val="22"/>
          <w:lang w:val="en"/>
        </w:rPr>
        <w:t xml:space="preserve">The first stage of the TPS model, namely Think (thinking) begins with the teacher asking questions in class and students are instructed to think of their own answers. At this stage, the teacher </w:t>
      </w:r>
      <w:r w:rsidRPr="001177D5">
        <w:rPr>
          <w:rFonts w:asciiTheme="minorHAnsi" w:hAnsiTheme="minorHAnsi" w:cstheme="minorHAnsi"/>
          <w:sz w:val="22"/>
          <w:szCs w:val="22"/>
          <w:lang w:val="en"/>
        </w:rPr>
        <w:lastRenderedPageBreak/>
        <w:t xml:space="preserve">helps students to construct the ideas that are in their minds individually. They will write some thoughts in response to the questions. This stage has the potential to show the ability to recognize one's strengths and limitations in the thought process. This is in line with </w:t>
      </w:r>
      <w:r>
        <w:rPr>
          <w:rFonts w:asciiTheme="minorHAnsi" w:hAnsiTheme="minorHAnsi" w:cstheme="minorHAnsi"/>
          <w:color w:val="000000" w:themeColor="text1"/>
          <w:sz w:val="22"/>
          <w:szCs w:val="22"/>
        </w:rPr>
        <w:t>Demirci and</w:t>
      </w:r>
      <w:r w:rsidR="002E650B" w:rsidRPr="00197956">
        <w:rPr>
          <w:rFonts w:asciiTheme="minorHAnsi" w:hAnsiTheme="minorHAnsi" w:cstheme="minorHAnsi"/>
          <w:color w:val="000000" w:themeColor="text1"/>
          <w:sz w:val="22"/>
          <w:szCs w:val="22"/>
        </w:rPr>
        <w:t xml:space="preserve"> Duzenli (2017)</w:t>
      </w:r>
      <w:r w:rsidR="00151CD2" w:rsidRPr="00197956">
        <w:rPr>
          <w:rFonts w:asciiTheme="minorHAnsi" w:hAnsiTheme="minorHAnsi" w:cstheme="minorHAnsi"/>
          <w:color w:val="000000" w:themeColor="text1"/>
          <w:sz w:val="22"/>
          <w:szCs w:val="22"/>
        </w:rPr>
        <w:t xml:space="preserve"> </w:t>
      </w:r>
      <w:r w:rsidR="00F460A9" w:rsidRPr="00F460A9">
        <w:rPr>
          <w:rFonts w:asciiTheme="minorHAnsi" w:hAnsiTheme="minorHAnsi" w:cstheme="minorHAnsi"/>
          <w:color w:val="000000" w:themeColor="text1"/>
          <w:sz w:val="22"/>
          <w:szCs w:val="22"/>
        </w:rPr>
        <w:t>which states that in the thinking stage, they can identify strengths and weaknesses when writing down their answers. The second stage is Pair, where the teacher asks students to work with their partners to agree on an answer so that this stage can encourage students to accept and be open to new views. At this stage, students exchange ideas with group members under the guidance of the teacher and try to solve the problems shown by the teacher, so that the scaffolding process comes out. This process has the potential to show an attitude of working together with others for a common goal because through scaffolding in group work, students will help each other to complete work and solve problems in their learning</w:t>
      </w:r>
      <w:r w:rsidR="002E650B" w:rsidRPr="00197956">
        <w:rPr>
          <w:rFonts w:asciiTheme="minorHAnsi" w:hAnsiTheme="minorHAnsi" w:cstheme="minorHAnsi"/>
          <w:sz w:val="22"/>
          <w:szCs w:val="22"/>
        </w:rPr>
        <w:t xml:space="preserve"> (Muhfahroyin and Santoso, 2019)</w:t>
      </w:r>
      <w:r w:rsidR="00151CD2" w:rsidRPr="00197956">
        <w:rPr>
          <w:rFonts w:asciiTheme="minorHAnsi" w:hAnsiTheme="minorHAnsi" w:cstheme="minorHAnsi"/>
          <w:sz w:val="22"/>
          <w:szCs w:val="22"/>
        </w:rPr>
        <w:t xml:space="preserve">. </w:t>
      </w:r>
      <w:r w:rsidR="00F460A9" w:rsidRPr="00F460A9">
        <w:rPr>
          <w:rFonts w:asciiTheme="minorHAnsi" w:hAnsiTheme="minorHAnsi" w:cstheme="minorHAnsi"/>
          <w:sz w:val="22"/>
          <w:szCs w:val="22"/>
        </w:rPr>
        <w:t>Discussions conducted at the Pair stage encourage students to take responsibility for their actions. This is evidenced by the results of research (Mahyiddin, 2019; Stark, 2016) which reveals that group discussions can train students to be responsible for a task. The Pair stage makes students interact with their friends. Citrawati et al. (2020) revealed that when interacting, a student can compare the thoughts and knowledge that he has formed with the thoughts and knowledge of other students and has the potential to show confidence to be better to achieve optimal results because students are challenged to develop their thoughts and knowledge. In addition, students will communicate the ideas that are in their minds and consider the ideas of other people in the group. These activities have the potential to demonstrate the ability to understand and respect the opinions of others. In line with Ardiyani et al. (2020) that when discussing students will learn to appreciate the diversity and differences that exist. With collaboration, students are more willing to listen to the views of others, share ideas, clarify differences and build new understandings (Gillies, 2008). The last stage is Share, where the teacher asks students to present the results of the discussion with their partner in front of their classmates. At this stage, students are guided by the teacher to provide opinions about the results of the discussion of each group then students and teachers conclude the learning outcomes. This has the potential to show students' confidence in their own abilities because Mahyiddin (2019) explains that when explaining the results of discussions with their own ideas, students will train themselves to communicate in front of the class so that they can grow self-confidence regarding their abilities. Furthermore, the Share stage can encourage students to take responsibility for their actions. This is in line with Bamiro (2015) who said that the Share stage can make students more willing to take risks and suggest ideas because they have "tested" the idea with their partner.</w:t>
      </w:r>
    </w:p>
    <w:p w14:paraId="51C78E95" w14:textId="77777777" w:rsidR="00151CD2" w:rsidRPr="00197956" w:rsidRDefault="00F460A9" w:rsidP="00F460A9">
      <w:pPr>
        <w:ind w:firstLine="720"/>
        <w:jc w:val="both"/>
        <w:rPr>
          <w:rFonts w:asciiTheme="minorHAnsi" w:hAnsiTheme="minorHAnsi" w:cstheme="minorHAnsi"/>
          <w:sz w:val="22"/>
          <w:szCs w:val="22"/>
        </w:rPr>
      </w:pPr>
      <w:r w:rsidRPr="00F460A9">
        <w:rPr>
          <w:rFonts w:asciiTheme="minorHAnsi" w:hAnsiTheme="minorHAnsi" w:cstheme="minorHAnsi"/>
          <w:color w:val="000000" w:themeColor="text1"/>
          <w:sz w:val="22"/>
          <w:szCs w:val="22"/>
        </w:rPr>
        <w:t>Based on the explanation of the integration of the stages of the TPS model and indicators of emotional intelligence, it produces the following scheme</w:t>
      </w:r>
      <w:r w:rsidR="00151CD2" w:rsidRPr="00197956">
        <w:rPr>
          <w:rFonts w:asciiTheme="minorHAnsi" w:hAnsiTheme="minorHAnsi" w:cstheme="minorHAnsi"/>
          <w:color w:val="000000" w:themeColor="text1"/>
          <w:sz w:val="22"/>
          <w:szCs w:val="22"/>
        </w:rPr>
        <w:t>.</w:t>
      </w:r>
    </w:p>
    <w:p w14:paraId="6FB5D20D" w14:textId="77777777" w:rsidR="00F460A9" w:rsidRPr="00570A45" w:rsidRDefault="00570A45" w:rsidP="005A40BB">
      <w:pPr>
        <w:pStyle w:val="Pythagoras932ParagrafAfterTablePicture"/>
        <w:rPr>
          <w:rFonts w:cstheme="minorHAnsi"/>
          <w:noProof/>
          <w:szCs w:val="22"/>
        </w:rPr>
      </w:pPr>
      <w:r>
        <w:rPr>
          <w:rFonts w:cstheme="minorHAnsi"/>
          <w:noProof/>
          <w:szCs w:val="22"/>
        </w:rPr>
        <w:drawing>
          <wp:inline distT="0" distB="0" distL="0" distR="0" wp14:anchorId="6F918BD7" wp14:editId="3DAEB489">
            <wp:extent cx="5760720" cy="2577947"/>
            <wp:effectExtent l="0" t="0" r="0" b="0"/>
            <wp:docPr id="3" name="Picture 3" descr="C:\Users\Hamidah\AppData\Local\Microsoft\Windows\INetCache\Content.MSO\4669C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idah\AppData\Local\Microsoft\Windows\INetCache\Content.MSO\4669C7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577947"/>
                    </a:xfrm>
                    <a:prstGeom prst="rect">
                      <a:avLst/>
                    </a:prstGeom>
                    <a:noFill/>
                    <a:ln>
                      <a:noFill/>
                    </a:ln>
                  </pic:spPr>
                </pic:pic>
              </a:graphicData>
            </a:graphic>
          </wp:inline>
        </w:drawing>
      </w:r>
    </w:p>
    <w:p w14:paraId="2D483A74" w14:textId="77777777" w:rsidR="005A40BB" w:rsidRPr="00197956" w:rsidRDefault="00197956" w:rsidP="005A40BB">
      <w:pPr>
        <w:jc w:val="center"/>
        <w:rPr>
          <w:rFonts w:asciiTheme="minorHAnsi" w:hAnsiTheme="minorHAnsi" w:cstheme="minorHAnsi"/>
          <w:sz w:val="22"/>
          <w:szCs w:val="22"/>
        </w:rPr>
      </w:pPr>
      <w:r>
        <w:rPr>
          <w:rFonts w:asciiTheme="minorHAnsi" w:hAnsiTheme="minorHAnsi" w:cstheme="minorHAnsi"/>
          <w:b/>
          <w:bCs/>
          <w:color w:val="C00000"/>
          <w:sz w:val="22"/>
          <w:szCs w:val="22"/>
        </w:rPr>
        <w:t>Figure</w:t>
      </w:r>
      <w:r w:rsidR="005A40BB" w:rsidRPr="00197956">
        <w:rPr>
          <w:rFonts w:asciiTheme="minorHAnsi" w:hAnsiTheme="minorHAnsi" w:cstheme="minorHAnsi"/>
          <w:b/>
          <w:bCs/>
          <w:color w:val="C00000"/>
          <w:sz w:val="22"/>
          <w:szCs w:val="22"/>
        </w:rPr>
        <w:t xml:space="preserve"> 1. </w:t>
      </w:r>
      <w:r w:rsidRPr="00197956">
        <w:rPr>
          <w:rFonts w:asciiTheme="minorHAnsi" w:hAnsiTheme="minorHAnsi" w:cstheme="minorHAnsi"/>
          <w:color w:val="000000" w:themeColor="text1"/>
          <w:sz w:val="22"/>
          <w:szCs w:val="22"/>
        </w:rPr>
        <w:t>Integration of TPS model stages and Emotional Intelligence Indicators</w:t>
      </w:r>
    </w:p>
    <w:p w14:paraId="46F74630" w14:textId="77777777" w:rsidR="00151CD2" w:rsidRPr="00197956" w:rsidRDefault="005A40BB" w:rsidP="005A40BB">
      <w:pPr>
        <w:jc w:val="both"/>
        <w:rPr>
          <w:rFonts w:asciiTheme="minorHAnsi" w:hAnsiTheme="minorHAnsi" w:cstheme="minorHAnsi"/>
          <w:sz w:val="22"/>
          <w:szCs w:val="22"/>
        </w:rPr>
      </w:pPr>
      <w:r w:rsidRPr="00197956">
        <w:rPr>
          <w:rFonts w:asciiTheme="minorHAnsi" w:hAnsiTheme="minorHAnsi" w:cstheme="minorHAnsi"/>
          <w:sz w:val="22"/>
          <w:szCs w:val="22"/>
        </w:rPr>
        <w:lastRenderedPageBreak/>
        <w:tab/>
      </w:r>
      <w:r w:rsidR="00197956" w:rsidRPr="00197956">
        <w:rPr>
          <w:rFonts w:asciiTheme="minorHAnsi" w:hAnsiTheme="minorHAnsi" w:cstheme="minorHAnsi"/>
          <w:sz w:val="22"/>
          <w:szCs w:val="22"/>
        </w:rPr>
        <w:t>It is clear that the TPS model has an effect on students to increase emotional intelligence in learning mathematics. This can be a consideration for teachers to apply the TPS model in the classroom in order to optimize emotional intelligence which has a positive impact on student learning outcomes</w:t>
      </w:r>
      <w:r w:rsidRPr="00197956">
        <w:rPr>
          <w:rFonts w:asciiTheme="minorHAnsi" w:hAnsiTheme="minorHAnsi" w:cstheme="minorHAnsi"/>
          <w:sz w:val="22"/>
          <w:szCs w:val="22"/>
        </w:rPr>
        <w:t>.</w:t>
      </w:r>
    </w:p>
    <w:p w14:paraId="174C754F" w14:textId="77777777" w:rsidR="00BA5672" w:rsidRPr="00197956" w:rsidRDefault="00197956" w:rsidP="005A40BB">
      <w:pPr>
        <w:pStyle w:val="PythagorasHeading1"/>
        <w:rPr>
          <w:rFonts w:asciiTheme="minorHAnsi" w:hAnsiTheme="minorHAnsi" w:cstheme="minorHAnsi"/>
          <w:szCs w:val="22"/>
        </w:rPr>
      </w:pPr>
      <w:r w:rsidRPr="00197956">
        <w:rPr>
          <w:rFonts w:asciiTheme="minorHAnsi" w:hAnsiTheme="minorHAnsi" w:cstheme="minorHAnsi"/>
          <w:szCs w:val="22"/>
        </w:rPr>
        <w:t>CONCLUSION</w:t>
      </w:r>
    </w:p>
    <w:p w14:paraId="6B3D1151" w14:textId="75C2F1DE" w:rsidR="00E918EE" w:rsidRPr="00197956" w:rsidRDefault="00197956" w:rsidP="005A40BB">
      <w:pPr>
        <w:pStyle w:val="Pythagoras931Paragraf"/>
        <w:rPr>
          <w:rFonts w:cstheme="minorHAnsi"/>
          <w:szCs w:val="22"/>
          <w:lang w:val="en-US"/>
        </w:rPr>
      </w:pPr>
      <w:r w:rsidRPr="00197956">
        <w:rPr>
          <w:rFonts w:cstheme="minorHAnsi"/>
          <w:szCs w:val="22"/>
        </w:rPr>
        <w:t xml:space="preserve">Based on the literature review, it can be concluded that the TPS model can improve students' emotional intelligence in learning mathematics. At the Think stage, it can potentially show the ability to recognize one's strengths and limitations. At the Pair stage, it has the potential to show an accepting and open attitude. to new views, showing an attitude of responsibility for their actions, showing confidence to be better to achieve optimal results, showing the ability to understand and respect other people's opinions, and showing the ability to work together with others for a common goal. At the Share stage, you have the potential to show confidence in your own abilities and show an attitude of responsibility for your actions. </w:t>
      </w:r>
      <w:r w:rsidR="00404FC1" w:rsidRPr="00404FC1">
        <w:rPr>
          <w:rFonts w:cstheme="minorHAnsi"/>
          <w:szCs w:val="22"/>
        </w:rPr>
        <w:t>So that emotional intelligence can be accommodated in the learning process, it is recommended for mathematics teachers to choose the right learning model in improving emotional intelligence, one of which is by using the TPS model.</w:t>
      </w:r>
    </w:p>
    <w:p w14:paraId="20CE446B" w14:textId="77777777" w:rsidR="001E336C" w:rsidRPr="00570A45" w:rsidRDefault="00570A45" w:rsidP="005A40BB">
      <w:pPr>
        <w:pStyle w:val="PythagorasHeading1"/>
        <w:rPr>
          <w:rFonts w:asciiTheme="minorHAnsi" w:hAnsiTheme="minorHAnsi" w:cstheme="minorHAnsi"/>
        </w:rPr>
      </w:pPr>
      <w:r>
        <w:rPr>
          <w:rFonts w:asciiTheme="minorHAnsi" w:hAnsiTheme="minorHAnsi" w:cstheme="minorHAnsi"/>
        </w:rPr>
        <w:t>REFERENCES</w:t>
      </w:r>
    </w:p>
    <w:p w14:paraId="2423773E" w14:textId="77777777" w:rsidR="00570A45" w:rsidRDefault="00570A45" w:rsidP="00F46CB1">
      <w:pPr>
        <w:pStyle w:val="Pythagoras941Reference"/>
        <w:rPr>
          <w:rFonts w:cstheme="minorHAnsi"/>
        </w:rPr>
      </w:pPr>
      <w:bookmarkStart w:id="0" w:name="Grounlound"/>
      <w:r w:rsidRPr="00570A45">
        <w:rPr>
          <w:rFonts w:cstheme="minorHAnsi"/>
        </w:rPr>
        <w:t>Ardiyani, S. M. (2019). The Impact of Think Pair Share Model on Mathematics Learning in Elementary Schools. </w:t>
      </w:r>
      <w:r w:rsidRPr="00570A45">
        <w:rPr>
          <w:rFonts w:cstheme="minorHAnsi"/>
          <w:i/>
          <w:iCs/>
        </w:rPr>
        <w:t>Journal of Education and Learning (EduLearn)</w:t>
      </w:r>
      <w:r w:rsidRPr="00570A45">
        <w:rPr>
          <w:rFonts w:cstheme="minorHAnsi"/>
        </w:rPr>
        <w:t>, </w:t>
      </w:r>
      <w:r w:rsidRPr="00570A45">
        <w:rPr>
          <w:rFonts w:cstheme="minorHAnsi"/>
          <w:i/>
          <w:iCs/>
        </w:rPr>
        <w:t>13</w:t>
      </w:r>
      <w:r w:rsidRPr="00570A45">
        <w:rPr>
          <w:rFonts w:cstheme="minorHAnsi"/>
        </w:rPr>
        <w:t xml:space="preserve">(1), 93-97. </w:t>
      </w:r>
      <w:hyperlink r:id="rId18" w:history="1">
        <w:r w:rsidRPr="00570A45">
          <w:rPr>
            <w:rStyle w:val="Hyperlink"/>
            <w:rFonts w:cstheme="minorHAnsi"/>
          </w:rPr>
          <w:t>https://doi.org/10.11591/edulearn.v13i1.8427</w:t>
        </w:r>
      </w:hyperlink>
    </w:p>
    <w:p w14:paraId="7FA24C1A" w14:textId="77777777" w:rsidR="005E4143" w:rsidRPr="00197956" w:rsidRDefault="005E4143" w:rsidP="00F46CB1">
      <w:pPr>
        <w:pStyle w:val="Pythagoras941Reference"/>
        <w:rPr>
          <w:rFonts w:cstheme="minorHAnsi"/>
        </w:rPr>
      </w:pPr>
      <w:r w:rsidRPr="00197956">
        <w:rPr>
          <w:rFonts w:cstheme="minorHAnsi"/>
        </w:rPr>
        <w:t>Asria, V. Z. (2019, December). Improving concept comprehension ability in mathematics by using mathematical model: Think-pair-share approach. In </w:t>
      </w:r>
      <w:r w:rsidRPr="00197956">
        <w:rPr>
          <w:rFonts w:cstheme="minorHAnsi"/>
          <w:i/>
          <w:iCs/>
        </w:rPr>
        <w:t>Journal of Physics: Conference Series</w:t>
      </w:r>
      <w:r w:rsidRPr="00197956">
        <w:rPr>
          <w:rFonts w:cstheme="minorHAnsi"/>
        </w:rPr>
        <w:t xml:space="preserve"> (Vol. 1402, No. 7, p. 077083). IOP Publishing. </w:t>
      </w:r>
      <w:hyperlink r:id="rId19" w:history="1">
        <w:r w:rsidRPr="00197956">
          <w:rPr>
            <w:rStyle w:val="Hyperlink"/>
            <w:rFonts w:cstheme="minorHAnsi"/>
          </w:rPr>
          <w:t>https://doi.org/10.1088/1742-6596/1402/7/077083</w:t>
        </w:r>
      </w:hyperlink>
      <w:r w:rsidRPr="00197956">
        <w:rPr>
          <w:rFonts w:cstheme="minorHAnsi"/>
        </w:rPr>
        <w:t xml:space="preserve"> </w:t>
      </w:r>
    </w:p>
    <w:p w14:paraId="104E85B2" w14:textId="77777777" w:rsidR="005E4143" w:rsidRPr="00197956" w:rsidRDefault="005E4143" w:rsidP="00497263">
      <w:pPr>
        <w:pStyle w:val="Pythagoras941Reference"/>
        <w:rPr>
          <w:rFonts w:cstheme="minorHAnsi"/>
        </w:rPr>
      </w:pPr>
      <w:r w:rsidRPr="00197956">
        <w:rPr>
          <w:rFonts w:cstheme="minorHAnsi"/>
        </w:rPr>
        <w:t>Bamiro, A. O. (2015). Effects of guided discovery and think-pair-share strategies on secondary school students’ achievement in chemistry. </w:t>
      </w:r>
      <w:r w:rsidRPr="00197956">
        <w:rPr>
          <w:rFonts w:cstheme="minorHAnsi"/>
          <w:i/>
          <w:iCs/>
        </w:rPr>
        <w:t>Sage Open</w:t>
      </w:r>
      <w:r w:rsidRPr="00197956">
        <w:rPr>
          <w:rFonts w:cstheme="minorHAnsi"/>
        </w:rPr>
        <w:t>, </w:t>
      </w:r>
      <w:r w:rsidRPr="00197956">
        <w:rPr>
          <w:rFonts w:cstheme="minorHAnsi"/>
          <w:i/>
          <w:iCs/>
        </w:rPr>
        <w:t>5</w:t>
      </w:r>
      <w:r w:rsidRPr="00197956">
        <w:rPr>
          <w:rFonts w:cstheme="minorHAnsi"/>
        </w:rPr>
        <w:t xml:space="preserve">(1), </w:t>
      </w:r>
      <w:hyperlink r:id="rId20" w:history="1">
        <w:r w:rsidRPr="00197956">
          <w:rPr>
            <w:rStyle w:val="Hyperlink"/>
            <w:rFonts w:cstheme="minorHAnsi"/>
          </w:rPr>
          <w:t>https://doi.org/10.1177/2158244014564754</w:t>
        </w:r>
      </w:hyperlink>
      <w:r w:rsidRPr="00197956">
        <w:rPr>
          <w:rFonts w:cstheme="minorHAnsi"/>
        </w:rPr>
        <w:t xml:space="preserve"> </w:t>
      </w:r>
    </w:p>
    <w:p w14:paraId="2F6BC812" w14:textId="77777777" w:rsidR="005E4143" w:rsidRPr="00197956" w:rsidRDefault="005E4143" w:rsidP="00F46CB1">
      <w:pPr>
        <w:pStyle w:val="Pythagoras941Reference"/>
        <w:rPr>
          <w:rFonts w:cstheme="minorHAnsi"/>
        </w:rPr>
      </w:pPr>
      <w:r w:rsidRPr="00197956">
        <w:rPr>
          <w:rFonts w:cstheme="minorHAnsi"/>
        </w:rPr>
        <w:t>Citrawathi, D. M., Widiyanti, N. P. M., &amp; Adnyana, P. B. (2020, July). The effectiveness of the think pair share model based on questions to improve students’ participation and students’ learning outcomes about histology structure of digestive system. In </w:t>
      </w:r>
      <w:r w:rsidRPr="00197956">
        <w:rPr>
          <w:rFonts w:cstheme="minorHAnsi"/>
          <w:i/>
          <w:iCs/>
        </w:rPr>
        <w:t>Journal of Physics: Conference Series</w:t>
      </w:r>
      <w:r w:rsidRPr="00197956">
        <w:rPr>
          <w:rFonts w:cstheme="minorHAnsi"/>
        </w:rPr>
        <w:t xml:space="preserve"> (Vol. 1503, No. 1, p. 012040). IOP Publishing. </w:t>
      </w:r>
      <w:hyperlink r:id="rId21" w:history="1">
        <w:r w:rsidRPr="00197956">
          <w:rPr>
            <w:rStyle w:val="Hyperlink"/>
            <w:rFonts w:cstheme="minorHAnsi"/>
          </w:rPr>
          <w:t>https://doi.org/10.1088/1742-6596/1503/1/012040</w:t>
        </w:r>
      </w:hyperlink>
      <w:r w:rsidRPr="00197956">
        <w:rPr>
          <w:rFonts w:cstheme="minorHAnsi"/>
        </w:rPr>
        <w:t xml:space="preserve"> </w:t>
      </w:r>
    </w:p>
    <w:bookmarkEnd w:id="0"/>
    <w:p w14:paraId="54E71C2D" w14:textId="77777777" w:rsidR="005E4143" w:rsidRPr="00197956" w:rsidRDefault="005E4143" w:rsidP="00F46CB1">
      <w:pPr>
        <w:pStyle w:val="Pythagoras941Reference"/>
        <w:rPr>
          <w:rFonts w:cstheme="minorHAnsi"/>
        </w:rPr>
      </w:pPr>
      <w:r w:rsidRPr="00197956">
        <w:rPr>
          <w:rFonts w:cstheme="minorHAnsi"/>
        </w:rPr>
        <w:t>Demirci, C., &amp; Düzenli, H. (2017). Formative Value of an Active Learning Strategy: Technology Based Think-Pair-Share in an EFL Writing Classroom. </w:t>
      </w:r>
      <w:r w:rsidRPr="00197956">
        <w:rPr>
          <w:rFonts w:cstheme="minorHAnsi"/>
          <w:i/>
          <w:iCs/>
        </w:rPr>
        <w:t>World Journal of Education</w:t>
      </w:r>
      <w:r w:rsidRPr="00197956">
        <w:rPr>
          <w:rFonts w:cstheme="minorHAnsi"/>
        </w:rPr>
        <w:t>, </w:t>
      </w:r>
      <w:r w:rsidRPr="00197956">
        <w:rPr>
          <w:rFonts w:cstheme="minorHAnsi"/>
          <w:i/>
          <w:iCs/>
        </w:rPr>
        <w:t>7</w:t>
      </w:r>
      <w:r w:rsidRPr="00197956">
        <w:rPr>
          <w:rFonts w:cstheme="minorHAnsi"/>
        </w:rPr>
        <w:t xml:space="preserve">(6), 63-74. </w:t>
      </w:r>
      <w:hyperlink r:id="rId22" w:history="1">
        <w:r w:rsidRPr="00197956">
          <w:rPr>
            <w:rStyle w:val="Hyperlink"/>
            <w:rFonts w:cstheme="minorHAnsi"/>
          </w:rPr>
          <w:t>https://doi.org/10.5430/wje.v7n6p63</w:t>
        </w:r>
      </w:hyperlink>
      <w:r w:rsidRPr="00197956">
        <w:rPr>
          <w:rFonts w:cstheme="minorHAnsi"/>
        </w:rPr>
        <w:t xml:space="preserve"> </w:t>
      </w:r>
    </w:p>
    <w:p w14:paraId="4130C8AF" w14:textId="77777777" w:rsidR="005E4143" w:rsidRPr="00197956" w:rsidRDefault="005E4143" w:rsidP="00F46CB1">
      <w:pPr>
        <w:pStyle w:val="Pythagoras941Reference"/>
        <w:rPr>
          <w:rFonts w:cstheme="minorHAnsi"/>
        </w:rPr>
      </w:pPr>
      <w:r w:rsidRPr="00197956">
        <w:rPr>
          <w:rFonts w:cstheme="minorHAnsi"/>
        </w:rPr>
        <w:t>Gillies, R. M. (2004). The effects of cooperative learning on junior high school students during small group learning. </w:t>
      </w:r>
      <w:r w:rsidRPr="00197956">
        <w:rPr>
          <w:rFonts w:cstheme="minorHAnsi"/>
          <w:i/>
          <w:iCs/>
        </w:rPr>
        <w:t>Learning and instruction</w:t>
      </w:r>
      <w:r w:rsidRPr="00197956">
        <w:rPr>
          <w:rFonts w:cstheme="minorHAnsi"/>
        </w:rPr>
        <w:t>, </w:t>
      </w:r>
      <w:r w:rsidRPr="00197956">
        <w:rPr>
          <w:rFonts w:cstheme="minorHAnsi"/>
          <w:i/>
          <w:iCs/>
        </w:rPr>
        <w:t>14</w:t>
      </w:r>
      <w:r w:rsidRPr="00197956">
        <w:rPr>
          <w:rFonts w:cstheme="minorHAnsi"/>
        </w:rPr>
        <w:t xml:space="preserve">(2), 197-213. </w:t>
      </w:r>
      <w:hyperlink r:id="rId23" w:history="1">
        <w:r w:rsidRPr="00197956">
          <w:rPr>
            <w:rStyle w:val="Hyperlink"/>
            <w:rFonts w:cstheme="minorHAnsi"/>
          </w:rPr>
          <w:t>https://doi.org/10.1016/S0959-4752(03)00068-9</w:t>
        </w:r>
      </w:hyperlink>
      <w:r w:rsidRPr="00197956">
        <w:rPr>
          <w:rFonts w:cstheme="minorHAnsi"/>
        </w:rPr>
        <w:t xml:space="preserve"> </w:t>
      </w:r>
    </w:p>
    <w:p w14:paraId="078FAF5B" w14:textId="77777777" w:rsidR="005E4143" w:rsidRPr="00197956" w:rsidRDefault="005E4143" w:rsidP="00497263">
      <w:pPr>
        <w:pStyle w:val="Pythagoras941Reference"/>
        <w:rPr>
          <w:rFonts w:cstheme="minorHAnsi"/>
        </w:rPr>
      </w:pPr>
      <w:r w:rsidRPr="00197956">
        <w:rPr>
          <w:rFonts w:cstheme="minorHAnsi"/>
        </w:rPr>
        <w:t>Gohm, C. L., Corser, G. C., &amp; Dalsky, D. J. (2005). Emotional intelligence under stress: Useful, unnecessary, or irrelevant?. </w:t>
      </w:r>
      <w:r w:rsidRPr="00197956">
        <w:rPr>
          <w:rFonts w:cstheme="minorHAnsi"/>
          <w:i/>
          <w:iCs/>
        </w:rPr>
        <w:t>Personality and individual differences</w:t>
      </w:r>
      <w:r w:rsidRPr="00197956">
        <w:rPr>
          <w:rFonts w:cstheme="minorHAnsi"/>
        </w:rPr>
        <w:t>, </w:t>
      </w:r>
      <w:r w:rsidRPr="00197956">
        <w:rPr>
          <w:rFonts w:cstheme="minorHAnsi"/>
          <w:i/>
          <w:iCs/>
        </w:rPr>
        <w:t>39</w:t>
      </w:r>
      <w:r w:rsidRPr="00197956">
        <w:rPr>
          <w:rFonts w:cstheme="minorHAnsi"/>
        </w:rPr>
        <w:t xml:space="preserve">(6), 1017-1028. </w:t>
      </w:r>
      <w:hyperlink r:id="rId24" w:history="1">
        <w:r w:rsidRPr="00197956">
          <w:rPr>
            <w:rStyle w:val="Hyperlink"/>
            <w:rFonts w:cstheme="minorHAnsi"/>
          </w:rPr>
          <w:t>https://doi.org/10.1016/j.paid.2005.03.018</w:t>
        </w:r>
      </w:hyperlink>
      <w:r w:rsidRPr="00197956">
        <w:rPr>
          <w:rFonts w:cstheme="minorHAnsi"/>
        </w:rPr>
        <w:t xml:space="preserve"> </w:t>
      </w:r>
    </w:p>
    <w:p w14:paraId="2E46D801" w14:textId="77777777" w:rsidR="005E4143" w:rsidRPr="00197956" w:rsidRDefault="005E4143" w:rsidP="00997CAF">
      <w:pPr>
        <w:pStyle w:val="Pythagoras941Reference"/>
        <w:rPr>
          <w:rFonts w:cstheme="minorHAnsi"/>
        </w:rPr>
      </w:pPr>
      <w:r w:rsidRPr="00197956">
        <w:rPr>
          <w:rFonts w:cstheme="minorHAnsi"/>
        </w:rPr>
        <w:t>Hasanzadeh, R., &amp; Shahmohamadi, F. (2011). Study of emotional intelligence and learning strategies. </w:t>
      </w:r>
      <w:r w:rsidRPr="00197956">
        <w:rPr>
          <w:rFonts w:cstheme="minorHAnsi"/>
          <w:i/>
          <w:iCs/>
        </w:rPr>
        <w:t>Procedia-Social and Behavioral Sciences</w:t>
      </w:r>
      <w:r w:rsidRPr="00197956">
        <w:rPr>
          <w:rFonts w:cstheme="minorHAnsi"/>
        </w:rPr>
        <w:t>, </w:t>
      </w:r>
      <w:r w:rsidRPr="00197956">
        <w:rPr>
          <w:rFonts w:cstheme="minorHAnsi"/>
          <w:i/>
          <w:iCs/>
        </w:rPr>
        <w:t>29</w:t>
      </w:r>
      <w:r w:rsidRPr="00197956">
        <w:rPr>
          <w:rFonts w:cstheme="minorHAnsi"/>
        </w:rPr>
        <w:t>, 1824-1829</w:t>
      </w:r>
      <w:r w:rsidRPr="00197956">
        <w:rPr>
          <w:rFonts w:cstheme="minorHAnsi"/>
          <w:lang w:val="id-ID"/>
        </w:rPr>
        <w:t xml:space="preserve">. </w:t>
      </w:r>
      <w:hyperlink r:id="rId25" w:history="1">
        <w:r w:rsidRPr="00197956">
          <w:rPr>
            <w:rStyle w:val="Hyperlink"/>
            <w:rFonts w:cstheme="minorHAnsi"/>
            <w:lang w:val="id-ID"/>
          </w:rPr>
          <w:t>https://doi.org/10.1016/j.sbspro.2011.11.430</w:t>
        </w:r>
      </w:hyperlink>
      <w:r w:rsidRPr="00197956">
        <w:rPr>
          <w:rFonts w:cstheme="minorHAnsi"/>
        </w:rPr>
        <w:t xml:space="preserve"> </w:t>
      </w:r>
    </w:p>
    <w:p w14:paraId="6ED95CB3" w14:textId="77777777" w:rsidR="005E4143" w:rsidRPr="00197956" w:rsidRDefault="005E4143" w:rsidP="00F46CB1">
      <w:pPr>
        <w:pStyle w:val="Pythagoras941Reference"/>
        <w:rPr>
          <w:rFonts w:cstheme="minorHAnsi"/>
        </w:rPr>
      </w:pPr>
      <w:r w:rsidRPr="00197956">
        <w:rPr>
          <w:rFonts w:cstheme="minorHAnsi"/>
        </w:rPr>
        <w:t>Hetika, H., Farida, I., &amp; Sari, Y. P. (2017). Think Pair Share (TPS) as Method to Improve Studentâ€™ s Learning Motivation and Learning Achievement. </w:t>
      </w:r>
      <w:r w:rsidRPr="00197956">
        <w:rPr>
          <w:rFonts w:cstheme="minorHAnsi"/>
          <w:i/>
          <w:iCs/>
        </w:rPr>
        <w:t>Dinamika Pendidikan</w:t>
      </w:r>
      <w:r w:rsidRPr="00197956">
        <w:rPr>
          <w:rFonts w:cstheme="minorHAnsi"/>
        </w:rPr>
        <w:t>, </w:t>
      </w:r>
      <w:r w:rsidRPr="00197956">
        <w:rPr>
          <w:rFonts w:cstheme="minorHAnsi"/>
          <w:i/>
          <w:iCs/>
        </w:rPr>
        <w:t>12</w:t>
      </w:r>
      <w:r w:rsidRPr="00197956">
        <w:rPr>
          <w:rFonts w:cstheme="minorHAnsi"/>
        </w:rPr>
        <w:t xml:space="preserve">(2), 125-135. </w:t>
      </w:r>
      <w:hyperlink r:id="rId26" w:history="1">
        <w:r w:rsidRPr="00197956">
          <w:rPr>
            <w:rStyle w:val="Hyperlink"/>
            <w:rFonts w:cstheme="minorHAnsi"/>
          </w:rPr>
          <w:t>https://doi.org/10.15294/dp.v12i2.13561</w:t>
        </w:r>
      </w:hyperlink>
      <w:r w:rsidRPr="00197956">
        <w:rPr>
          <w:rFonts w:cstheme="minorHAnsi"/>
        </w:rPr>
        <w:t xml:space="preserve"> </w:t>
      </w:r>
    </w:p>
    <w:p w14:paraId="23C64407" w14:textId="77777777" w:rsidR="005E4143" w:rsidRPr="00197956" w:rsidRDefault="005E4143" w:rsidP="00497263">
      <w:pPr>
        <w:pStyle w:val="Pythagoras941Reference"/>
        <w:rPr>
          <w:rFonts w:cstheme="minorHAnsi"/>
        </w:rPr>
      </w:pPr>
      <w:r w:rsidRPr="00197956">
        <w:rPr>
          <w:rFonts w:cstheme="minorHAnsi"/>
        </w:rPr>
        <w:t>Irma, A., Juandi, D., Dahlan, J. A., &amp; Nirawati, R. (2020, April). The effect of think-pair-share cooperative learning on student mathematical communication skills. In </w:t>
      </w:r>
      <w:r w:rsidRPr="00197956">
        <w:rPr>
          <w:rFonts w:cstheme="minorHAnsi"/>
          <w:i/>
          <w:iCs/>
        </w:rPr>
        <w:t>Journal of Physics: Conference Series</w:t>
      </w:r>
      <w:r w:rsidRPr="00197956">
        <w:rPr>
          <w:rFonts w:cstheme="minorHAnsi"/>
        </w:rPr>
        <w:t xml:space="preserve"> (Vol. 1521, No. 3, p. 032033). IOP Publishing. </w:t>
      </w:r>
      <w:hyperlink r:id="rId27" w:history="1">
        <w:r w:rsidRPr="00197956">
          <w:rPr>
            <w:rStyle w:val="Hyperlink"/>
            <w:rFonts w:cstheme="minorHAnsi"/>
          </w:rPr>
          <w:t>https://doi.org/10.1088/1742-6596/1521/3/032033</w:t>
        </w:r>
      </w:hyperlink>
      <w:r w:rsidRPr="00197956">
        <w:rPr>
          <w:rFonts w:cstheme="minorHAnsi"/>
        </w:rPr>
        <w:t xml:space="preserve"> </w:t>
      </w:r>
    </w:p>
    <w:p w14:paraId="082C83E8" w14:textId="77777777" w:rsidR="005E4143" w:rsidRPr="00197956" w:rsidRDefault="005E4143" w:rsidP="00497263">
      <w:pPr>
        <w:pStyle w:val="Pythagoras941Reference"/>
        <w:rPr>
          <w:rFonts w:cstheme="minorHAnsi"/>
        </w:rPr>
      </w:pPr>
      <w:r w:rsidRPr="00197956">
        <w:rPr>
          <w:rFonts w:cstheme="minorHAnsi"/>
        </w:rPr>
        <w:t>Kelly, E. J., &amp; Kaminskienė, N. (2016). Importance of emotional intelligence in negotiation and mediation. </w:t>
      </w:r>
      <w:r w:rsidRPr="00197956">
        <w:rPr>
          <w:rFonts w:cstheme="minorHAnsi"/>
          <w:i/>
          <w:iCs/>
        </w:rPr>
        <w:t>International Comparative Jurisprudence</w:t>
      </w:r>
      <w:r w:rsidRPr="00197956">
        <w:rPr>
          <w:rFonts w:cstheme="minorHAnsi"/>
        </w:rPr>
        <w:t>, </w:t>
      </w:r>
      <w:r w:rsidRPr="00197956">
        <w:rPr>
          <w:rFonts w:cstheme="minorHAnsi"/>
          <w:i/>
          <w:iCs/>
        </w:rPr>
        <w:t>2</w:t>
      </w:r>
      <w:r w:rsidRPr="00197956">
        <w:rPr>
          <w:rFonts w:cstheme="minorHAnsi"/>
        </w:rPr>
        <w:t xml:space="preserve">(1), 55-60. </w:t>
      </w:r>
      <w:hyperlink r:id="rId28" w:history="1">
        <w:r w:rsidRPr="00197956">
          <w:rPr>
            <w:rStyle w:val="Hyperlink"/>
            <w:rFonts w:cstheme="minorHAnsi"/>
          </w:rPr>
          <w:t>https://doi.org/10.1016/j.icj.2016.07.001</w:t>
        </w:r>
      </w:hyperlink>
      <w:r w:rsidRPr="00197956">
        <w:rPr>
          <w:rFonts w:cstheme="minorHAnsi"/>
        </w:rPr>
        <w:t xml:space="preserve"> </w:t>
      </w:r>
    </w:p>
    <w:p w14:paraId="2ECD1A13" w14:textId="77777777" w:rsidR="005E4143" w:rsidRPr="00197956" w:rsidRDefault="005E4143" w:rsidP="00497263">
      <w:pPr>
        <w:pStyle w:val="Pythagoras941Reference"/>
        <w:rPr>
          <w:rFonts w:cstheme="minorHAnsi"/>
        </w:rPr>
      </w:pPr>
      <w:r w:rsidRPr="00197956">
        <w:rPr>
          <w:rFonts w:cstheme="minorHAnsi"/>
        </w:rPr>
        <w:lastRenderedPageBreak/>
        <w:t>Kothiyal, A., Murthy, S., &amp; Iyer, S. (2014, June). Think-pair-share in a large CS1 class: does learning really happen?. In </w:t>
      </w:r>
      <w:r w:rsidRPr="00197956">
        <w:rPr>
          <w:rFonts w:cstheme="minorHAnsi"/>
          <w:i/>
          <w:iCs/>
        </w:rPr>
        <w:t>Proceedings of the 2014 conference on Innovation &amp; technology in computer science education</w:t>
      </w:r>
      <w:r w:rsidRPr="00197956">
        <w:rPr>
          <w:rFonts w:cstheme="minorHAnsi"/>
        </w:rPr>
        <w:t xml:space="preserve"> (pp. 51-56). </w:t>
      </w:r>
      <w:hyperlink r:id="rId29" w:history="1">
        <w:r w:rsidRPr="00197956">
          <w:rPr>
            <w:rStyle w:val="Hyperlink"/>
            <w:rFonts w:cstheme="minorHAnsi"/>
            <w:sz w:val="21"/>
            <w:szCs w:val="21"/>
            <w:shd w:val="clear" w:color="auto" w:fill="FFFFFF"/>
          </w:rPr>
          <w:t>https://doi.org/10.1145/2591708.2591739</w:t>
        </w:r>
      </w:hyperlink>
      <w:r w:rsidRPr="00197956">
        <w:rPr>
          <w:rFonts w:cstheme="minorHAnsi"/>
        </w:rPr>
        <w:t xml:space="preserve"> </w:t>
      </w:r>
    </w:p>
    <w:p w14:paraId="0D6E06A0" w14:textId="77777777" w:rsidR="005E4143" w:rsidRPr="00197956" w:rsidRDefault="005E4143" w:rsidP="00497263">
      <w:pPr>
        <w:pStyle w:val="Pythagoras941Reference"/>
        <w:rPr>
          <w:rFonts w:cstheme="minorHAnsi"/>
        </w:rPr>
      </w:pPr>
      <w:r w:rsidRPr="00197956">
        <w:rPr>
          <w:rFonts w:cstheme="minorHAnsi"/>
        </w:rPr>
        <w:t>Kurjum, M., Muhid, A., &amp; Thohir, M. (2020). Think-pair-share model as solution to develop students’ critical thinking in Islamic studies: is it effective?. </w:t>
      </w:r>
      <w:r w:rsidRPr="00197956">
        <w:rPr>
          <w:rFonts w:cstheme="minorHAnsi"/>
          <w:i/>
          <w:iCs/>
        </w:rPr>
        <w:t>Cakrawala Pendidikan</w:t>
      </w:r>
      <w:r w:rsidRPr="00197956">
        <w:rPr>
          <w:rFonts w:cstheme="minorHAnsi"/>
        </w:rPr>
        <w:t>, </w:t>
      </w:r>
      <w:r w:rsidRPr="00197956">
        <w:rPr>
          <w:rFonts w:cstheme="minorHAnsi"/>
          <w:i/>
          <w:iCs/>
        </w:rPr>
        <w:t>39</w:t>
      </w:r>
      <w:r w:rsidRPr="00197956">
        <w:rPr>
          <w:rFonts w:cstheme="minorHAnsi"/>
        </w:rPr>
        <w:t xml:space="preserve">(1), 144-155. </w:t>
      </w:r>
    </w:p>
    <w:p w14:paraId="5100D2AF" w14:textId="77777777" w:rsidR="005E4143" w:rsidRPr="00197956" w:rsidRDefault="005E4143" w:rsidP="00997CAF">
      <w:pPr>
        <w:pStyle w:val="Pythagoras941Reference"/>
        <w:rPr>
          <w:rFonts w:cstheme="minorHAnsi"/>
        </w:rPr>
      </w:pPr>
      <w:r w:rsidRPr="00197956">
        <w:rPr>
          <w:rFonts w:cstheme="minorHAnsi"/>
        </w:rPr>
        <w:t>Lyons, J. B., &amp; Schneider, T. R. (2005). The influence of emotional intelligence on performance. </w:t>
      </w:r>
      <w:r w:rsidRPr="00197956">
        <w:rPr>
          <w:rFonts w:cstheme="minorHAnsi"/>
          <w:i/>
          <w:iCs/>
        </w:rPr>
        <w:t>Personality and individual differences</w:t>
      </w:r>
      <w:r w:rsidRPr="00197956">
        <w:rPr>
          <w:rFonts w:cstheme="minorHAnsi"/>
        </w:rPr>
        <w:t>, </w:t>
      </w:r>
      <w:r w:rsidRPr="00197956">
        <w:rPr>
          <w:rFonts w:cstheme="minorHAnsi"/>
          <w:i/>
          <w:iCs/>
        </w:rPr>
        <w:t>39</w:t>
      </w:r>
      <w:r w:rsidRPr="00197956">
        <w:rPr>
          <w:rFonts w:cstheme="minorHAnsi"/>
        </w:rPr>
        <w:t>(4), 693-703</w:t>
      </w:r>
      <w:r w:rsidRPr="00197956">
        <w:rPr>
          <w:rFonts w:cstheme="minorHAnsi"/>
          <w:lang w:val="id-ID"/>
        </w:rPr>
        <w:t>.</w:t>
      </w:r>
      <w:r w:rsidRPr="00197956">
        <w:rPr>
          <w:rFonts w:cstheme="minorHAnsi"/>
        </w:rPr>
        <w:t xml:space="preserve"> </w:t>
      </w:r>
      <w:hyperlink r:id="rId30" w:history="1">
        <w:r w:rsidRPr="00197956">
          <w:rPr>
            <w:rStyle w:val="Hyperlink"/>
            <w:rFonts w:cstheme="minorHAnsi"/>
          </w:rPr>
          <w:t>https://doi.org/10.1016/j.paid.2005.02.018</w:t>
        </w:r>
      </w:hyperlink>
      <w:r w:rsidRPr="00197956">
        <w:rPr>
          <w:rFonts w:cstheme="minorHAnsi"/>
        </w:rPr>
        <w:t xml:space="preserve"> </w:t>
      </w:r>
    </w:p>
    <w:p w14:paraId="279F6402" w14:textId="4FADC924" w:rsidR="005E4143" w:rsidRDefault="005E4143" w:rsidP="00F46CB1">
      <w:pPr>
        <w:pStyle w:val="Pythagoras941Reference"/>
        <w:rPr>
          <w:rFonts w:cstheme="minorHAnsi"/>
        </w:rPr>
      </w:pPr>
      <w:r w:rsidRPr="00197956">
        <w:rPr>
          <w:rFonts w:cstheme="minorHAnsi"/>
        </w:rPr>
        <w:t>Mahyiddin, Z. (2019, September). Improving Motivation and Learning Outcomes of MTsN 2 the Great Aceh Students in Vocational Processing Subject Through the Cooperative Learning Model Think Pair and Share. In </w:t>
      </w:r>
      <w:r w:rsidRPr="00197956">
        <w:rPr>
          <w:rFonts w:cstheme="minorHAnsi"/>
          <w:i/>
          <w:iCs/>
        </w:rPr>
        <w:t>Journal of Physics: Conference Series</w:t>
      </w:r>
      <w:r w:rsidRPr="00197956">
        <w:rPr>
          <w:rFonts w:cstheme="minorHAnsi"/>
        </w:rPr>
        <w:t xml:space="preserve"> (Vol. 1232, No. 1, p. 012034). IOP Publishing. </w:t>
      </w:r>
      <w:hyperlink r:id="rId31" w:history="1">
        <w:r w:rsidRPr="00197956">
          <w:rPr>
            <w:rStyle w:val="Hyperlink"/>
            <w:rFonts w:cstheme="minorHAnsi"/>
          </w:rPr>
          <w:t>https://doi.org/10.1088/1742-6596/1232/1/012034</w:t>
        </w:r>
      </w:hyperlink>
      <w:r w:rsidRPr="00197956">
        <w:rPr>
          <w:rFonts w:cstheme="minorHAnsi"/>
        </w:rPr>
        <w:t xml:space="preserve"> </w:t>
      </w:r>
    </w:p>
    <w:p w14:paraId="590A4F01" w14:textId="4C8FD8B4" w:rsidR="00F86361" w:rsidRPr="00197956" w:rsidRDefault="00F86361" w:rsidP="00F46CB1">
      <w:pPr>
        <w:pStyle w:val="Pythagoras941Reference"/>
        <w:rPr>
          <w:rFonts w:cstheme="minorHAnsi"/>
        </w:rPr>
      </w:pPr>
      <w:r w:rsidRPr="00F86361">
        <w:rPr>
          <w:rFonts w:cstheme="minorHAnsi"/>
        </w:rPr>
        <w:t>Mariamah, M., Muslim, M., Gunawan, G., &amp; Hidayat, A. (2021, June). The Effectiveness of Think Pair Share (TPS) Integrated Problem-Solving Learning of Students’ Mathematic Ability. In Journal of Physics: Conference Series (Vol. 1933, No. 1, p. 012073). IOP Publishing.</w:t>
      </w:r>
      <w:r>
        <w:rPr>
          <w:rFonts w:cstheme="minorHAnsi"/>
        </w:rPr>
        <w:t xml:space="preserve"> </w:t>
      </w:r>
      <w:hyperlink r:id="rId32" w:history="1">
        <w:r w:rsidRPr="001021C3">
          <w:rPr>
            <w:rStyle w:val="Hyperlink"/>
            <w:rFonts w:cstheme="minorHAnsi"/>
          </w:rPr>
          <w:t>https://</w:t>
        </w:r>
        <w:r w:rsidRPr="001021C3">
          <w:rPr>
            <w:rStyle w:val="Hyperlink"/>
          </w:rPr>
          <w:t>doi:10.1088/1742-6596/1933/1/012073</w:t>
        </w:r>
      </w:hyperlink>
      <w:r>
        <w:t xml:space="preserve"> </w:t>
      </w:r>
    </w:p>
    <w:p w14:paraId="28CC71CD" w14:textId="77777777" w:rsidR="005E4143" w:rsidRPr="00197956" w:rsidRDefault="005E4143" w:rsidP="00497263">
      <w:pPr>
        <w:pStyle w:val="Pythagoras941Reference"/>
        <w:rPr>
          <w:rFonts w:cstheme="minorHAnsi"/>
        </w:rPr>
      </w:pPr>
      <w:r w:rsidRPr="00197956">
        <w:rPr>
          <w:rFonts w:cstheme="minorHAnsi"/>
        </w:rPr>
        <w:t>Mayer, J. D., DiPaolo, M., &amp; Salovey, P. (1990). Perceiving affective content in ambiguous visual stimuli: A component of emotional intelligence. </w:t>
      </w:r>
      <w:r w:rsidRPr="00197956">
        <w:rPr>
          <w:rFonts w:cstheme="minorHAnsi"/>
          <w:i/>
          <w:iCs/>
        </w:rPr>
        <w:t>Journal of personality assessment</w:t>
      </w:r>
      <w:r w:rsidRPr="00197956">
        <w:rPr>
          <w:rFonts w:cstheme="minorHAnsi"/>
        </w:rPr>
        <w:t>, </w:t>
      </w:r>
      <w:r w:rsidRPr="00197956">
        <w:rPr>
          <w:rFonts w:cstheme="minorHAnsi"/>
          <w:i/>
          <w:iCs/>
        </w:rPr>
        <w:t>54</w:t>
      </w:r>
      <w:r w:rsidRPr="00197956">
        <w:rPr>
          <w:rFonts w:cstheme="minorHAnsi"/>
        </w:rPr>
        <w:t xml:space="preserve">(3-4), 772-781. </w:t>
      </w:r>
      <w:hyperlink r:id="rId33" w:history="1">
        <w:r w:rsidRPr="00197956">
          <w:rPr>
            <w:rStyle w:val="Hyperlink"/>
            <w:rFonts w:cstheme="minorHAnsi"/>
          </w:rPr>
          <w:t>https://doi.org/10.1080/00223891.1990.9674037</w:t>
        </w:r>
      </w:hyperlink>
      <w:r w:rsidRPr="00197956">
        <w:rPr>
          <w:rFonts w:cstheme="minorHAnsi"/>
        </w:rPr>
        <w:t xml:space="preserve"> </w:t>
      </w:r>
    </w:p>
    <w:p w14:paraId="46368D7B" w14:textId="77777777" w:rsidR="005E4143" w:rsidRPr="00F84AE0" w:rsidRDefault="005E4143" w:rsidP="00497263">
      <w:pPr>
        <w:pStyle w:val="Pythagoras941Reference"/>
        <w:rPr>
          <w:rFonts w:cstheme="minorHAnsi"/>
          <w:color w:val="222222"/>
          <w:szCs w:val="22"/>
          <w:shd w:val="clear" w:color="auto" w:fill="FFFFFF"/>
        </w:rPr>
      </w:pPr>
      <w:r w:rsidRPr="00F84AE0">
        <w:rPr>
          <w:rFonts w:cstheme="minorHAnsi"/>
          <w:color w:val="222222"/>
          <w:szCs w:val="22"/>
          <w:shd w:val="clear" w:color="auto" w:fill="FFFFFF"/>
        </w:rPr>
        <w:t>Meyer, B. B., &amp; Fletcher, T. B. (2007). Emotional intelligence: A theoretical overview and implications for research and professional practice in sport psychology. </w:t>
      </w:r>
      <w:r w:rsidRPr="00F84AE0">
        <w:rPr>
          <w:rFonts w:cstheme="minorHAnsi"/>
          <w:i/>
          <w:iCs/>
          <w:color w:val="222222"/>
          <w:szCs w:val="22"/>
          <w:shd w:val="clear" w:color="auto" w:fill="FFFFFF"/>
        </w:rPr>
        <w:t>Journal of applied sport psychology</w:t>
      </w:r>
      <w:r w:rsidRPr="00F84AE0">
        <w:rPr>
          <w:rFonts w:cstheme="minorHAnsi"/>
          <w:color w:val="222222"/>
          <w:szCs w:val="22"/>
          <w:shd w:val="clear" w:color="auto" w:fill="FFFFFF"/>
        </w:rPr>
        <w:t>, </w:t>
      </w:r>
      <w:r w:rsidRPr="00F84AE0">
        <w:rPr>
          <w:rFonts w:cstheme="minorHAnsi"/>
          <w:i/>
          <w:iCs/>
          <w:color w:val="222222"/>
          <w:szCs w:val="22"/>
          <w:shd w:val="clear" w:color="auto" w:fill="FFFFFF"/>
        </w:rPr>
        <w:t>19</w:t>
      </w:r>
      <w:r w:rsidRPr="00F84AE0">
        <w:rPr>
          <w:rFonts w:cstheme="minorHAnsi"/>
          <w:color w:val="222222"/>
          <w:szCs w:val="22"/>
          <w:shd w:val="clear" w:color="auto" w:fill="FFFFFF"/>
        </w:rPr>
        <w:t>(1), 1-15.</w:t>
      </w:r>
    </w:p>
    <w:p w14:paraId="35DE7084" w14:textId="77777777" w:rsidR="005E4143" w:rsidRPr="00197956" w:rsidRDefault="005E4143" w:rsidP="00F46CB1">
      <w:pPr>
        <w:pStyle w:val="Pythagoras941Reference"/>
        <w:rPr>
          <w:rFonts w:cstheme="minorHAnsi"/>
        </w:rPr>
      </w:pPr>
      <w:r w:rsidRPr="00197956">
        <w:rPr>
          <w:rFonts w:cstheme="minorHAnsi"/>
        </w:rPr>
        <w:t>Muhfahroyin, M., &amp; Santoso, H. (2019). The Effect of STAD and TPS Integration in Biology Learning toward the Students Cognitive Achievement. </w:t>
      </w:r>
      <w:r w:rsidRPr="00197956">
        <w:rPr>
          <w:rFonts w:cstheme="minorHAnsi"/>
          <w:i/>
          <w:iCs/>
        </w:rPr>
        <w:t>International Journal of Innovation, Creativity and Change</w:t>
      </w:r>
      <w:r w:rsidRPr="00197956">
        <w:rPr>
          <w:rFonts w:cstheme="minorHAnsi"/>
        </w:rPr>
        <w:t>, </w:t>
      </w:r>
      <w:r w:rsidRPr="00197956">
        <w:rPr>
          <w:rFonts w:cstheme="minorHAnsi"/>
          <w:i/>
          <w:iCs/>
        </w:rPr>
        <w:t>5</w:t>
      </w:r>
      <w:r w:rsidRPr="00197956">
        <w:rPr>
          <w:rFonts w:cstheme="minorHAnsi"/>
        </w:rPr>
        <w:t xml:space="preserve">(4). </w:t>
      </w:r>
    </w:p>
    <w:p w14:paraId="318F40B6" w14:textId="77777777" w:rsidR="005E4143" w:rsidRPr="00197956" w:rsidRDefault="005E4143" w:rsidP="00497263">
      <w:pPr>
        <w:pStyle w:val="Pythagoras941Reference"/>
        <w:rPr>
          <w:rFonts w:cstheme="minorHAnsi"/>
        </w:rPr>
      </w:pPr>
      <w:r w:rsidRPr="00197956">
        <w:rPr>
          <w:rFonts w:cstheme="minorHAnsi"/>
        </w:rPr>
        <w:t>Ningsih, Y., Andika, R., Sari, I. K., Ahmad, S., &amp; Kenedi, A. K. (2019, October). The application think pair share in learning mathematic. In </w:t>
      </w:r>
      <w:r w:rsidRPr="00197956">
        <w:rPr>
          <w:rFonts w:cstheme="minorHAnsi"/>
          <w:i/>
          <w:iCs/>
        </w:rPr>
        <w:t>Journal of Physics: Conference Series</w:t>
      </w:r>
      <w:r w:rsidRPr="00197956">
        <w:rPr>
          <w:rFonts w:cstheme="minorHAnsi"/>
        </w:rPr>
        <w:t xml:space="preserve"> (Vol. 1321, No. 2, p. 022092). IOP Publishing. </w:t>
      </w:r>
      <w:hyperlink r:id="rId34" w:history="1">
        <w:r w:rsidRPr="00197956">
          <w:rPr>
            <w:rStyle w:val="Hyperlink"/>
            <w:rFonts w:cstheme="minorHAnsi"/>
          </w:rPr>
          <w:t>https://doi.org/10.1088/1742-6596/1321/2/022092</w:t>
        </w:r>
      </w:hyperlink>
      <w:r w:rsidRPr="00197956">
        <w:rPr>
          <w:rFonts w:cstheme="minorHAnsi"/>
        </w:rPr>
        <w:t xml:space="preserve"> </w:t>
      </w:r>
    </w:p>
    <w:p w14:paraId="5FB247E7" w14:textId="77777777" w:rsidR="005E4143" w:rsidRPr="00197956" w:rsidRDefault="005E4143" w:rsidP="00497263">
      <w:pPr>
        <w:pStyle w:val="Pythagoras941Reference"/>
        <w:rPr>
          <w:rFonts w:cstheme="minorHAnsi"/>
        </w:rPr>
      </w:pPr>
      <w:r w:rsidRPr="00197956">
        <w:rPr>
          <w:rFonts w:cstheme="minorHAnsi"/>
        </w:rPr>
        <w:t>Nor, N. A. K. M., Ismail, Z., &amp; Yusof, Y. M. (2016). The relationship between emotional intelligence and mathematical competency among secondary school students. </w:t>
      </w:r>
      <w:r w:rsidRPr="00197956">
        <w:rPr>
          <w:rFonts w:cstheme="minorHAnsi"/>
          <w:i/>
          <w:iCs/>
        </w:rPr>
        <w:t>Journal on Mathematics Education</w:t>
      </w:r>
      <w:r w:rsidRPr="00197956">
        <w:rPr>
          <w:rFonts w:cstheme="minorHAnsi"/>
        </w:rPr>
        <w:t>, </w:t>
      </w:r>
      <w:r w:rsidRPr="00197956">
        <w:rPr>
          <w:rFonts w:cstheme="minorHAnsi"/>
          <w:i/>
          <w:iCs/>
        </w:rPr>
        <w:t>7</w:t>
      </w:r>
      <w:r w:rsidRPr="00197956">
        <w:rPr>
          <w:rFonts w:cstheme="minorHAnsi"/>
        </w:rPr>
        <w:t xml:space="preserve">(2), 91-100.  </w:t>
      </w:r>
      <w:hyperlink r:id="rId35" w:history="1">
        <w:r w:rsidRPr="00197956">
          <w:rPr>
            <w:rStyle w:val="Hyperlink"/>
            <w:rFonts w:cstheme="minorHAnsi"/>
          </w:rPr>
          <w:t>http://dx.doi.org/10.22342/jme.7.2.3534.91-100</w:t>
        </w:r>
      </w:hyperlink>
      <w:r w:rsidRPr="00197956">
        <w:rPr>
          <w:rFonts w:cstheme="minorHAnsi"/>
        </w:rPr>
        <w:t xml:space="preserve"> </w:t>
      </w:r>
    </w:p>
    <w:p w14:paraId="557D5530" w14:textId="77777777" w:rsidR="005E4143" w:rsidRPr="00197956" w:rsidRDefault="005E4143" w:rsidP="00F46CB1">
      <w:pPr>
        <w:pStyle w:val="Pythagoras941Reference"/>
        <w:rPr>
          <w:rFonts w:cstheme="minorHAnsi"/>
        </w:rPr>
      </w:pPr>
      <w:r w:rsidRPr="00197956">
        <w:rPr>
          <w:rFonts w:cstheme="minorHAnsi"/>
        </w:rPr>
        <w:t>Nugraha, D. Y., Ikram, A., Anhar, F. N., Sam, I. S. N., Putri, I. N., Akbar, M., &amp; Ridfah, A. (2018, June). The Influence of Cooperative Learning Model Type Think Pair Share in Impriving Self Efficacy of Students Junior High School on Mathematics Subjects. In </w:t>
      </w:r>
      <w:r w:rsidRPr="00197956">
        <w:rPr>
          <w:rFonts w:cstheme="minorHAnsi"/>
          <w:i/>
          <w:iCs/>
        </w:rPr>
        <w:t>Journal of Physics: Conference Series</w:t>
      </w:r>
      <w:r w:rsidRPr="00197956">
        <w:rPr>
          <w:rFonts w:cstheme="minorHAnsi"/>
        </w:rPr>
        <w:t xml:space="preserve"> (Vol. 1028, No. 1, p. 012142). IOP Publishing. </w:t>
      </w:r>
      <w:hyperlink r:id="rId36" w:history="1">
        <w:r w:rsidRPr="00197956">
          <w:rPr>
            <w:rStyle w:val="Hyperlink"/>
            <w:rFonts w:cstheme="minorHAnsi"/>
          </w:rPr>
          <w:t>https://doi.org/10.1088/1742-6596/1028/1/012142</w:t>
        </w:r>
      </w:hyperlink>
      <w:r w:rsidRPr="00197956">
        <w:rPr>
          <w:rFonts w:cstheme="minorHAnsi"/>
        </w:rPr>
        <w:t xml:space="preserve"> </w:t>
      </w:r>
    </w:p>
    <w:p w14:paraId="4439FE56" w14:textId="77777777" w:rsidR="005E4143" w:rsidRPr="00197956" w:rsidRDefault="005E4143" w:rsidP="00497263">
      <w:pPr>
        <w:pStyle w:val="Pythagoras941Reference"/>
        <w:rPr>
          <w:rFonts w:cstheme="minorHAnsi"/>
        </w:rPr>
      </w:pPr>
      <w:r w:rsidRPr="00197956">
        <w:rPr>
          <w:rFonts w:cstheme="minorHAnsi"/>
        </w:rPr>
        <w:t>Nurulaeni, F. (2019, June). Think-Pair-Share Model: Improving Activeness and Communication Skills of Prospective Elementary School Teachers. In </w:t>
      </w:r>
      <w:r w:rsidRPr="00197956">
        <w:rPr>
          <w:rFonts w:cstheme="minorHAnsi"/>
          <w:i/>
          <w:iCs/>
        </w:rPr>
        <w:t>Journal of Physics: Conference Series</w:t>
      </w:r>
      <w:r w:rsidRPr="00197956">
        <w:rPr>
          <w:rFonts w:cstheme="minorHAnsi"/>
        </w:rPr>
        <w:t xml:space="preserve"> (Vol. 1233, No. 1, p. 012081). IOP Publishing. </w:t>
      </w:r>
      <w:hyperlink r:id="rId37" w:history="1">
        <w:r w:rsidRPr="00197956">
          <w:rPr>
            <w:rStyle w:val="Hyperlink"/>
            <w:rFonts w:cstheme="minorHAnsi"/>
          </w:rPr>
          <w:t>https://doi.org/10.1088/1742-6596/1233/1/012081</w:t>
        </w:r>
      </w:hyperlink>
      <w:r w:rsidRPr="00197956">
        <w:rPr>
          <w:rFonts w:cstheme="minorHAnsi"/>
        </w:rPr>
        <w:t xml:space="preserve"> </w:t>
      </w:r>
    </w:p>
    <w:p w14:paraId="7FDEF24B" w14:textId="77777777" w:rsidR="005E4143" w:rsidRPr="00197956" w:rsidRDefault="005E4143" w:rsidP="00497263">
      <w:pPr>
        <w:pStyle w:val="Pythagoras941Reference"/>
        <w:rPr>
          <w:rFonts w:cstheme="minorHAnsi"/>
        </w:rPr>
      </w:pPr>
      <w:r w:rsidRPr="00197956">
        <w:rPr>
          <w:rFonts w:cstheme="minorHAnsi"/>
        </w:rPr>
        <w:t>Petrides, K. V. (2010). Trait emotional intelligence theory. </w:t>
      </w:r>
      <w:r w:rsidRPr="00197956">
        <w:rPr>
          <w:rFonts w:cstheme="minorHAnsi"/>
          <w:i/>
          <w:iCs/>
        </w:rPr>
        <w:t>Ind. Organ. Psychol.</w:t>
      </w:r>
      <w:r w:rsidRPr="00197956">
        <w:rPr>
          <w:rFonts w:cstheme="minorHAnsi"/>
        </w:rPr>
        <w:t xml:space="preserve"> 3, 136–139. </w:t>
      </w:r>
      <w:hyperlink r:id="rId38" w:history="1">
        <w:r w:rsidRPr="00197956">
          <w:rPr>
            <w:rStyle w:val="Hyperlink"/>
            <w:rFonts w:cstheme="minorHAnsi"/>
          </w:rPr>
          <w:t>http://dx.doi.org/10.1111/j.1754-9434.2010.01213.x</w:t>
        </w:r>
      </w:hyperlink>
      <w:r w:rsidRPr="00197956">
        <w:rPr>
          <w:rFonts w:cstheme="minorHAnsi"/>
        </w:rPr>
        <w:t xml:space="preserve"> </w:t>
      </w:r>
    </w:p>
    <w:p w14:paraId="27022B46" w14:textId="77777777" w:rsidR="005E4143" w:rsidRPr="00197956" w:rsidRDefault="005E4143" w:rsidP="00997CAF">
      <w:pPr>
        <w:pStyle w:val="Pythagoras941Reference"/>
        <w:rPr>
          <w:rFonts w:cstheme="minorHAnsi"/>
          <w:spacing w:val="-14"/>
        </w:rPr>
      </w:pPr>
      <w:r w:rsidRPr="00197956">
        <w:rPr>
          <w:rFonts w:cstheme="minorHAnsi"/>
          <w:spacing w:val="-14"/>
        </w:rPr>
        <w:t>Prafitriyani, S., Magfirah, I., Amir, N. F., Irmawati, A., &amp; Umanailo, M. C. B. (2019). Influence of emotional intelligence on mathematics learning outcomes of class VII middle school 9 Buru students. </w:t>
      </w:r>
      <w:r w:rsidRPr="00197956">
        <w:rPr>
          <w:rFonts w:cstheme="minorHAnsi"/>
          <w:i/>
          <w:iCs/>
          <w:spacing w:val="-14"/>
        </w:rPr>
        <w:t>International Journal of Scientific &amp; Technology Research</w:t>
      </w:r>
      <w:r w:rsidRPr="00197956">
        <w:rPr>
          <w:rFonts w:cstheme="minorHAnsi"/>
          <w:spacing w:val="-14"/>
        </w:rPr>
        <w:t>, </w:t>
      </w:r>
      <w:r w:rsidRPr="00197956">
        <w:rPr>
          <w:rFonts w:cstheme="minorHAnsi"/>
          <w:i/>
          <w:iCs/>
          <w:spacing w:val="-14"/>
        </w:rPr>
        <w:t>8</w:t>
      </w:r>
      <w:r w:rsidRPr="00197956">
        <w:rPr>
          <w:rFonts w:cstheme="minorHAnsi"/>
          <w:spacing w:val="-14"/>
        </w:rPr>
        <w:t>(10), 1490-1494</w:t>
      </w:r>
      <w:r w:rsidRPr="00197956">
        <w:rPr>
          <w:rFonts w:cstheme="minorHAnsi"/>
          <w:spacing w:val="-14"/>
          <w:lang w:val="id-ID"/>
        </w:rPr>
        <w:t xml:space="preserve">. </w:t>
      </w:r>
    </w:p>
    <w:p w14:paraId="1942D202" w14:textId="77777777" w:rsidR="005E4143" w:rsidRPr="00197956" w:rsidRDefault="005E4143" w:rsidP="00497263">
      <w:pPr>
        <w:pStyle w:val="Pythagoras941Reference"/>
        <w:rPr>
          <w:rFonts w:cstheme="minorHAnsi"/>
        </w:rPr>
      </w:pPr>
      <w:r w:rsidRPr="00197956">
        <w:rPr>
          <w:rFonts w:cstheme="minorHAnsi"/>
        </w:rPr>
        <w:t>Rahman, A. A. (2019, July). Development Of Devices In Learning Based On Realistic Approaches To Improve Emotional Intelligence Of First Middle Students. In </w:t>
      </w:r>
      <w:r w:rsidRPr="00197956">
        <w:rPr>
          <w:rFonts w:cstheme="minorHAnsi"/>
          <w:i/>
          <w:iCs/>
        </w:rPr>
        <w:t>Journal of Physics: Conference Series</w:t>
      </w:r>
      <w:r w:rsidRPr="00197956">
        <w:rPr>
          <w:rFonts w:cstheme="minorHAnsi"/>
        </w:rPr>
        <w:t xml:space="preserve"> (Vol. 1179, No. 1, p. 012126). IOP Publishing. </w:t>
      </w:r>
      <w:hyperlink r:id="rId39" w:history="1">
        <w:r w:rsidRPr="00197956">
          <w:rPr>
            <w:rStyle w:val="Hyperlink"/>
            <w:rFonts w:cstheme="minorHAnsi"/>
          </w:rPr>
          <w:t>https://doi.org/10.1088/1742-6596/1179/1/012126</w:t>
        </w:r>
      </w:hyperlink>
      <w:r w:rsidRPr="00197956">
        <w:rPr>
          <w:rFonts w:cstheme="minorHAnsi"/>
        </w:rPr>
        <w:t xml:space="preserve"> </w:t>
      </w:r>
    </w:p>
    <w:p w14:paraId="337F4555" w14:textId="77777777" w:rsidR="005E4143" w:rsidRPr="00197956" w:rsidRDefault="005E4143" w:rsidP="00F46CB1">
      <w:pPr>
        <w:pStyle w:val="Pythagoras941Reference"/>
        <w:rPr>
          <w:rFonts w:cstheme="minorHAnsi"/>
        </w:rPr>
      </w:pPr>
      <w:r w:rsidRPr="00197956">
        <w:rPr>
          <w:rFonts w:cstheme="minorHAnsi"/>
        </w:rPr>
        <w:t>Razak, F. (2016). The effect of cooperative learning on mathematics learning outcomes viewed from students’ learning motivation. </w:t>
      </w:r>
      <w:r w:rsidRPr="00197956">
        <w:rPr>
          <w:rFonts w:cstheme="minorHAnsi"/>
          <w:i/>
          <w:iCs/>
        </w:rPr>
        <w:t>JRAMathEdu (Journal of Research and Advances in Mathematics Education)</w:t>
      </w:r>
      <w:r w:rsidRPr="00197956">
        <w:rPr>
          <w:rFonts w:cstheme="minorHAnsi"/>
        </w:rPr>
        <w:t>, </w:t>
      </w:r>
      <w:r w:rsidRPr="00197956">
        <w:rPr>
          <w:rFonts w:cstheme="minorHAnsi"/>
          <w:i/>
          <w:iCs/>
        </w:rPr>
        <w:t>1</w:t>
      </w:r>
      <w:r w:rsidRPr="00197956">
        <w:rPr>
          <w:rFonts w:cstheme="minorHAnsi"/>
        </w:rPr>
        <w:t xml:space="preserve">(1), 49-55.  </w:t>
      </w:r>
      <w:hyperlink r:id="rId40" w:history="1">
        <w:r w:rsidRPr="00197956">
          <w:rPr>
            <w:rStyle w:val="Hyperlink"/>
            <w:rFonts w:cstheme="minorHAnsi"/>
          </w:rPr>
          <w:t>https://doi.org/10.23917/jramathedu.v1i1.1785</w:t>
        </w:r>
      </w:hyperlink>
      <w:r w:rsidRPr="00197956">
        <w:rPr>
          <w:rFonts w:cstheme="minorHAnsi"/>
        </w:rPr>
        <w:t xml:space="preserve"> </w:t>
      </w:r>
    </w:p>
    <w:p w14:paraId="3493A6F8" w14:textId="77777777" w:rsidR="005E4143" w:rsidRPr="00197956" w:rsidRDefault="005E4143" w:rsidP="00497263">
      <w:pPr>
        <w:pStyle w:val="Pythagoras941Reference"/>
        <w:rPr>
          <w:rFonts w:cstheme="minorHAnsi"/>
        </w:rPr>
      </w:pPr>
      <w:r w:rsidRPr="00197956">
        <w:rPr>
          <w:rFonts w:cstheme="minorHAnsi"/>
        </w:rPr>
        <w:lastRenderedPageBreak/>
        <w:t>Rifa’i, A., &amp; Lestari, H. P. (2018, March). The effect of think pair share (TPS) using scientific approach on students’ self-confidence and mathematical problem-solving. In </w:t>
      </w:r>
      <w:r w:rsidRPr="00197956">
        <w:rPr>
          <w:rFonts w:cstheme="minorHAnsi"/>
          <w:i/>
          <w:iCs/>
        </w:rPr>
        <w:t>Journal of Physics: Conference Series</w:t>
      </w:r>
      <w:r w:rsidRPr="00197956">
        <w:rPr>
          <w:rFonts w:cstheme="minorHAnsi"/>
        </w:rPr>
        <w:t xml:space="preserve"> (Vol. 983, No. 1, p. 012084). IOP Publishing. </w:t>
      </w:r>
      <w:hyperlink r:id="rId41" w:history="1">
        <w:r w:rsidRPr="00197956">
          <w:rPr>
            <w:rStyle w:val="Hyperlink"/>
            <w:rFonts w:cstheme="minorHAnsi"/>
          </w:rPr>
          <w:t>https://doi.org/10.1088/1742-6596/983/1/012084</w:t>
        </w:r>
      </w:hyperlink>
      <w:r w:rsidRPr="00197956">
        <w:rPr>
          <w:rFonts w:cstheme="minorHAnsi"/>
        </w:rPr>
        <w:t xml:space="preserve"> </w:t>
      </w:r>
    </w:p>
    <w:p w14:paraId="1F7950D0" w14:textId="77777777" w:rsidR="005E4143" w:rsidRPr="00197956" w:rsidRDefault="005E4143" w:rsidP="00F46CB1">
      <w:pPr>
        <w:pStyle w:val="Pythagoras941Reference"/>
        <w:rPr>
          <w:rFonts w:cstheme="minorHAnsi"/>
        </w:rPr>
      </w:pPr>
      <w:r w:rsidRPr="00197956">
        <w:rPr>
          <w:rFonts w:cstheme="minorHAnsi"/>
        </w:rPr>
        <w:t>Rohman, T., &amp; Surachmi, S. (2021, March). The influence of think pair share model and crossword puzzle to increase primary school students’ mathematical learning interest. In </w:t>
      </w:r>
      <w:r w:rsidRPr="00197956">
        <w:rPr>
          <w:rFonts w:cstheme="minorHAnsi"/>
          <w:i/>
          <w:iCs/>
        </w:rPr>
        <w:t>Journal of Physics: Conference Series</w:t>
      </w:r>
      <w:r w:rsidRPr="00197956">
        <w:rPr>
          <w:rFonts w:cstheme="minorHAnsi"/>
        </w:rPr>
        <w:t xml:space="preserve"> (Vol. 1823, No. 1, p. 012093). IOP Publishing. </w:t>
      </w:r>
      <w:hyperlink r:id="rId42" w:history="1">
        <w:r w:rsidRPr="00197956">
          <w:rPr>
            <w:rStyle w:val="Hyperlink"/>
            <w:rFonts w:cstheme="minorHAnsi"/>
          </w:rPr>
          <w:t>https://doi.org/10.1088/1742-6596/1823/1/012093</w:t>
        </w:r>
      </w:hyperlink>
      <w:r w:rsidRPr="00197956">
        <w:rPr>
          <w:rFonts w:cstheme="minorHAnsi"/>
        </w:rPr>
        <w:t xml:space="preserve"> </w:t>
      </w:r>
    </w:p>
    <w:p w14:paraId="0C1DF170" w14:textId="77777777" w:rsidR="005E4143" w:rsidRPr="00197956" w:rsidRDefault="005E4143" w:rsidP="00F46CB1">
      <w:pPr>
        <w:pStyle w:val="Pythagoras941Reference"/>
        <w:rPr>
          <w:rFonts w:cstheme="minorHAnsi"/>
        </w:rPr>
      </w:pPr>
      <w:r w:rsidRPr="00197956">
        <w:rPr>
          <w:rFonts w:cstheme="minorHAnsi"/>
        </w:rPr>
        <w:t>Stark, J. (2005). Barriers to successful implementation of PDM. </w:t>
      </w:r>
      <w:r w:rsidRPr="00197956">
        <w:rPr>
          <w:rFonts w:cstheme="minorHAnsi"/>
          <w:i/>
          <w:iCs/>
        </w:rPr>
        <w:t>Product Lifecycle Management: 21st Century Paradigm for Product Realisation</w:t>
      </w:r>
      <w:r w:rsidRPr="00197956">
        <w:rPr>
          <w:rFonts w:cstheme="minorHAnsi"/>
        </w:rPr>
        <w:t xml:space="preserve">, 333-347. </w:t>
      </w:r>
      <w:hyperlink r:id="rId43" w:history="1">
        <w:r w:rsidRPr="00197956">
          <w:rPr>
            <w:rStyle w:val="Hyperlink"/>
            <w:rFonts w:cstheme="minorHAnsi"/>
          </w:rPr>
          <w:t>https://doi.org/10.1007/1-84628-067-2_27</w:t>
        </w:r>
      </w:hyperlink>
      <w:r w:rsidRPr="00197956">
        <w:rPr>
          <w:rFonts w:cstheme="minorHAnsi"/>
        </w:rPr>
        <w:t xml:space="preserve"> </w:t>
      </w:r>
    </w:p>
    <w:p w14:paraId="73C4202A" w14:textId="77777777" w:rsidR="005E4143" w:rsidRPr="00197956" w:rsidRDefault="005E4143" w:rsidP="00497263">
      <w:pPr>
        <w:pStyle w:val="Pythagoras941Reference"/>
        <w:rPr>
          <w:rFonts w:cstheme="minorHAnsi"/>
        </w:rPr>
      </w:pPr>
      <w:r w:rsidRPr="00197956">
        <w:rPr>
          <w:rFonts w:cstheme="minorHAnsi"/>
        </w:rPr>
        <w:t>Sucaromana, U. (2012). Contribution to language teaching and learning: A review of emotional intelligence. </w:t>
      </w:r>
      <w:r w:rsidRPr="00197956">
        <w:rPr>
          <w:rFonts w:cstheme="minorHAnsi"/>
          <w:i/>
          <w:iCs/>
        </w:rPr>
        <w:t>English Language Teaching</w:t>
      </w:r>
      <w:r w:rsidRPr="00197956">
        <w:rPr>
          <w:rFonts w:cstheme="minorHAnsi"/>
        </w:rPr>
        <w:t>, </w:t>
      </w:r>
      <w:r w:rsidRPr="00197956">
        <w:rPr>
          <w:rFonts w:cstheme="minorHAnsi"/>
          <w:i/>
          <w:iCs/>
        </w:rPr>
        <w:t>5</w:t>
      </w:r>
      <w:r w:rsidRPr="00197956">
        <w:rPr>
          <w:rFonts w:cstheme="minorHAnsi"/>
        </w:rPr>
        <w:t xml:space="preserve">(9), 54-58. </w:t>
      </w:r>
      <w:hyperlink r:id="rId44" w:history="1">
        <w:r w:rsidRPr="00197956">
          <w:rPr>
            <w:rStyle w:val="Hyperlink"/>
            <w:rFonts w:cstheme="minorHAnsi"/>
          </w:rPr>
          <w:t>https://doi.org/10.5539/elt.v5n9p54</w:t>
        </w:r>
      </w:hyperlink>
      <w:r w:rsidRPr="00197956">
        <w:rPr>
          <w:rFonts w:cstheme="minorHAnsi"/>
        </w:rPr>
        <w:t xml:space="preserve"> </w:t>
      </w:r>
    </w:p>
    <w:p w14:paraId="4612DA3A" w14:textId="2082CC22" w:rsidR="005E4143" w:rsidRDefault="005E4143" w:rsidP="00997CAF">
      <w:pPr>
        <w:pStyle w:val="Pythagoras941Reference"/>
        <w:rPr>
          <w:rFonts w:cstheme="minorHAnsi"/>
        </w:rPr>
      </w:pPr>
      <w:r w:rsidRPr="00197956">
        <w:rPr>
          <w:rFonts w:cstheme="minorHAnsi"/>
        </w:rPr>
        <w:t>Tam, H. L., Kwok, S. Y., Hui, A. N., Chan, D. K. Y., Leung, C., Leung, J., ... &amp; Lai, S. (2021). The significance of emotional intelligence to students’ learning motivation and academic achievement: A study in Hong Kong with a Confucian heritage. </w:t>
      </w:r>
      <w:r w:rsidRPr="00197956">
        <w:rPr>
          <w:rFonts w:cstheme="minorHAnsi"/>
          <w:i/>
          <w:iCs/>
        </w:rPr>
        <w:t>Children and Youth Services Review</w:t>
      </w:r>
      <w:r w:rsidRPr="00197956">
        <w:rPr>
          <w:rFonts w:cstheme="minorHAnsi"/>
        </w:rPr>
        <w:t>, </w:t>
      </w:r>
      <w:r w:rsidRPr="00197956">
        <w:rPr>
          <w:rFonts w:cstheme="minorHAnsi"/>
          <w:i/>
          <w:iCs/>
        </w:rPr>
        <w:t>121</w:t>
      </w:r>
      <w:r w:rsidRPr="00197956">
        <w:rPr>
          <w:rFonts w:cstheme="minorHAnsi"/>
        </w:rPr>
        <w:t xml:space="preserve">, 105847. </w:t>
      </w:r>
      <w:hyperlink r:id="rId45" w:history="1">
        <w:r w:rsidRPr="00197956">
          <w:rPr>
            <w:rStyle w:val="Hyperlink"/>
            <w:rFonts w:cstheme="minorHAnsi"/>
          </w:rPr>
          <w:t>https://doi.org/10.1016/j.childyouth.2020.105847</w:t>
        </w:r>
      </w:hyperlink>
      <w:r w:rsidRPr="00197956">
        <w:rPr>
          <w:rFonts w:cstheme="minorHAnsi"/>
        </w:rPr>
        <w:t xml:space="preserve"> </w:t>
      </w:r>
    </w:p>
    <w:p w14:paraId="54DDEC19" w14:textId="2A0F866D" w:rsidR="00D05666" w:rsidRPr="00197956" w:rsidRDefault="00D05666" w:rsidP="00997CAF">
      <w:pPr>
        <w:pStyle w:val="Pythagoras941Reference"/>
        <w:rPr>
          <w:rFonts w:cstheme="minorHAnsi"/>
        </w:rPr>
      </w:pPr>
      <w:r w:rsidRPr="00D05666">
        <w:rPr>
          <w:rFonts w:cstheme="minorHAnsi"/>
        </w:rPr>
        <w:t>Tanujaya, B., &amp; Mumu, J. (2017). Development instruction quality of statistics with think pair share through lesson study for learning community on FKIP UNIPA.</w:t>
      </w:r>
    </w:p>
    <w:p w14:paraId="5C4ABD5C" w14:textId="77777777" w:rsidR="005E4143" w:rsidRPr="00197956" w:rsidRDefault="005E4143" w:rsidP="00497263">
      <w:pPr>
        <w:pStyle w:val="Pythagoras941Reference"/>
        <w:rPr>
          <w:rFonts w:cstheme="minorHAnsi"/>
        </w:rPr>
      </w:pPr>
      <w:r w:rsidRPr="00197956">
        <w:rPr>
          <w:rFonts w:cstheme="minorHAnsi"/>
        </w:rPr>
        <w:t>Tanujaya, B., &amp; Mumu, J. (2019). Implementation of Think-Pair-Share to Mathematics Instruction. </w:t>
      </w:r>
      <w:r w:rsidRPr="00197956">
        <w:rPr>
          <w:rFonts w:cstheme="minorHAnsi"/>
          <w:i/>
          <w:iCs/>
        </w:rPr>
        <w:t>Journal of Education and Learning (EduLearn)</w:t>
      </w:r>
      <w:r w:rsidRPr="00197956">
        <w:rPr>
          <w:rFonts w:cstheme="minorHAnsi"/>
        </w:rPr>
        <w:t>, </w:t>
      </w:r>
      <w:r w:rsidRPr="00197956">
        <w:rPr>
          <w:rFonts w:cstheme="minorHAnsi"/>
          <w:i/>
          <w:iCs/>
        </w:rPr>
        <w:t>13</w:t>
      </w:r>
      <w:r w:rsidRPr="00197956">
        <w:rPr>
          <w:rFonts w:cstheme="minorHAnsi"/>
        </w:rPr>
        <w:t xml:space="preserve">(4), 510-517. </w:t>
      </w:r>
      <w:hyperlink r:id="rId46" w:history="1">
        <w:r w:rsidRPr="00197956">
          <w:rPr>
            <w:rStyle w:val="Hyperlink"/>
            <w:rFonts w:cstheme="minorHAnsi"/>
          </w:rPr>
          <w:t>https://doi.org/10.11591/edulearn.v13i4.14353</w:t>
        </w:r>
      </w:hyperlink>
      <w:r w:rsidRPr="00197956">
        <w:rPr>
          <w:rFonts w:cstheme="minorHAnsi"/>
        </w:rPr>
        <w:t xml:space="preserve"> </w:t>
      </w:r>
    </w:p>
    <w:p w14:paraId="3A4F478B" w14:textId="77777777" w:rsidR="005E4143" w:rsidRPr="00197956" w:rsidRDefault="005E4143" w:rsidP="00497263">
      <w:pPr>
        <w:pStyle w:val="Pythagoras941Reference"/>
        <w:rPr>
          <w:rFonts w:cstheme="minorHAnsi"/>
        </w:rPr>
      </w:pPr>
      <w:r w:rsidRPr="00197956">
        <w:rPr>
          <w:rFonts w:cstheme="minorHAnsi"/>
        </w:rPr>
        <w:t>Usman, A. H. (2015). Using the think-pair-share strategy to improve students' speaking ability at Stain Ternate. </w:t>
      </w:r>
      <w:r w:rsidRPr="00197956">
        <w:rPr>
          <w:rFonts w:cstheme="minorHAnsi"/>
          <w:i/>
          <w:iCs/>
        </w:rPr>
        <w:t>Journal of Education and Practice</w:t>
      </w:r>
      <w:r w:rsidRPr="00197956">
        <w:rPr>
          <w:rFonts w:cstheme="minorHAnsi"/>
        </w:rPr>
        <w:t>, </w:t>
      </w:r>
      <w:r w:rsidRPr="00197956">
        <w:rPr>
          <w:rFonts w:cstheme="minorHAnsi"/>
          <w:i/>
          <w:iCs/>
        </w:rPr>
        <w:t>6</w:t>
      </w:r>
      <w:r w:rsidRPr="00197956">
        <w:rPr>
          <w:rFonts w:cstheme="minorHAnsi"/>
        </w:rPr>
        <w:t>(10), 37-45.</w:t>
      </w:r>
    </w:p>
    <w:p w14:paraId="0E78602A" w14:textId="77777777" w:rsidR="005E4143" w:rsidRPr="00197956" w:rsidRDefault="005E4143" w:rsidP="00497263">
      <w:pPr>
        <w:pStyle w:val="Pythagoras941Reference"/>
        <w:rPr>
          <w:rFonts w:cstheme="minorHAnsi"/>
        </w:rPr>
      </w:pPr>
      <w:r w:rsidRPr="00197956">
        <w:rPr>
          <w:rFonts w:cstheme="minorHAnsi"/>
        </w:rPr>
        <w:t>Wahyuni, A. (2018, May). Comparison effectiveness of cooperative learning type STAD with cooperative learning type TPS in terms of mathematical method of Junior High School students. In </w:t>
      </w:r>
      <w:r w:rsidRPr="00197956">
        <w:rPr>
          <w:rFonts w:cstheme="minorHAnsi"/>
          <w:i/>
          <w:iCs/>
        </w:rPr>
        <w:t>Journal of Physics: Conference Series</w:t>
      </w:r>
      <w:r w:rsidRPr="00197956">
        <w:rPr>
          <w:rFonts w:cstheme="minorHAnsi"/>
        </w:rPr>
        <w:t xml:space="preserve"> (Vol. 1013, No. 1, p. 012212). IOP Publishing. </w:t>
      </w:r>
      <w:hyperlink r:id="rId47" w:history="1">
        <w:r w:rsidRPr="00197956">
          <w:rPr>
            <w:rStyle w:val="Hyperlink"/>
            <w:rFonts w:cstheme="minorHAnsi"/>
          </w:rPr>
          <w:t>https://doi.org/10.1088/1742-6596/1013/1/012212</w:t>
        </w:r>
      </w:hyperlink>
      <w:r w:rsidRPr="00197956">
        <w:rPr>
          <w:rFonts w:cstheme="minorHAnsi"/>
        </w:rPr>
        <w:t xml:space="preserve"> </w:t>
      </w:r>
    </w:p>
    <w:p w14:paraId="3B0DD55E" w14:textId="77777777" w:rsidR="005E4143" w:rsidRPr="00197956" w:rsidRDefault="005E4143" w:rsidP="00F46CB1">
      <w:pPr>
        <w:pStyle w:val="Pythagoras941Reference"/>
        <w:rPr>
          <w:rFonts w:cstheme="minorHAnsi"/>
        </w:rPr>
      </w:pPr>
    </w:p>
    <w:sectPr w:rsidR="005E4143" w:rsidRPr="00197956" w:rsidSect="00B723CD">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1701" w:right="1134" w:bottom="1134" w:left="1701" w:header="85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C416C" w14:textId="77777777" w:rsidR="008D4A18" w:rsidRDefault="008D4A18">
      <w:r>
        <w:separator/>
      </w:r>
    </w:p>
    <w:p w14:paraId="60C6766B" w14:textId="77777777" w:rsidR="008D4A18" w:rsidRDefault="008D4A18"/>
  </w:endnote>
  <w:endnote w:type="continuationSeparator" w:id="0">
    <w:p w14:paraId="4AA6E654" w14:textId="77777777" w:rsidR="008D4A18" w:rsidRDefault="008D4A18">
      <w:r>
        <w:continuationSeparator/>
      </w:r>
    </w:p>
    <w:p w14:paraId="7FDF1102" w14:textId="77777777" w:rsidR="008D4A18" w:rsidRDefault="008D4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9451" w14:textId="77777777" w:rsidR="001177D5" w:rsidRPr="002759C4" w:rsidRDefault="001177D5" w:rsidP="007B462C">
    <w:pPr>
      <w:pStyle w:val="Footer"/>
      <w:jc w:val="center"/>
      <w:rPr>
        <w:rFonts w:ascii="Trebuchet MS" w:hAnsi="Trebuchet MS"/>
        <w:spacing w:val="-6"/>
      </w:rPr>
    </w:pPr>
    <w:r w:rsidRPr="002759C4">
      <w:rPr>
        <w:rFonts w:ascii="Trebuchet MS" w:hAnsi="Trebuchet MS"/>
        <w:noProof/>
        <w:spacing w:val="-6"/>
        <w:sz w:val="20"/>
        <w:szCs w:val="20"/>
      </w:rPr>
      <mc:AlternateContent>
        <mc:Choice Requires="wps">
          <w:drawing>
            <wp:anchor distT="0" distB="0" distL="114300" distR="114300" simplePos="0" relativeHeight="251668480" behindDoc="1" locked="0" layoutInCell="1" allowOverlap="1" wp14:anchorId="24C28B6F" wp14:editId="566BEB47">
              <wp:simplePos x="0" y="0"/>
              <wp:positionH relativeFrom="column">
                <wp:posOffset>-1236980</wp:posOffset>
              </wp:positionH>
              <wp:positionV relativeFrom="paragraph">
                <wp:posOffset>-75092</wp:posOffset>
              </wp:positionV>
              <wp:extent cx="7753350" cy="276225"/>
              <wp:effectExtent l="0" t="0" r="0" b="952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753350" cy="276225"/>
                      </a:xfrm>
                      <a:prstGeom prst="rect">
                        <a:avLst/>
                      </a:prstGeom>
                      <a:gradFill rotWithShape="1">
                        <a:gsLst>
                          <a:gs pos="0">
                            <a:srgbClr val="FFFFFF"/>
                          </a:gs>
                          <a:gs pos="100000">
                            <a:srgbClr val="800000">
                              <a:alpha val="86000"/>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0C627" id="Rectangle 8" o:spid="_x0000_s1026" style="position:absolute;margin-left:-97.4pt;margin-top:-5.9pt;width:610.5pt;height:21.75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" stroked="f">
              <v:fill color2="maroon" o:opacity2="56360f" rotate="t" angle="90" focus="100%" type="gradient"/>
            </v:rect>
          </w:pict>
        </mc:Fallback>
      </mc:AlternateContent>
    </w:r>
    <w:r w:rsidRPr="002759C4">
      <w:rPr>
        <w:rFonts w:ascii="Trebuchet MS" w:hAnsi="Trebuchet MS"/>
        <w:spacing w:val="-6"/>
        <w:sz w:val="20"/>
        <w:szCs w:val="20"/>
      </w:rPr>
      <w:t>Copyright © 20</w:t>
    </w:r>
    <w:r w:rsidR="0078485C">
      <w:rPr>
        <w:rFonts w:ascii="Trebuchet MS" w:hAnsi="Trebuchet MS"/>
        <w:spacing w:val="-6"/>
        <w:sz w:val="20"/>
        <w:szCs w:val="20"/>
        <w:lang w:val="id-ID"/>
      </w:rPr>
      <w:t>22</w:t>
    </w:r>
    <w:r w:rsidRPr="002759C4">
      <w:rPr>
        <w:rFonts w:ascii="Trebuchet MS" w:hAnsi="Trebuchet MS"/>
        <w:spacing w:val="-6"/>
        <w:sz w:val="20"/>
        <w:szCs w:val="20"/>
      </w:rPr>
      <w:t xml:space="preserve">, </w:t>
    </w:r>
    <w:r w:rsidRPr="002759C4">
      <w:rPr>
        <w:rFonts w:ascii="Trebuchet MS" w:hAnsi="Trebuchet MS"/>
        <w:spacing w:val="-6"/>
        <w:sz w:val="20"/>
        <w:szCs w:val="20"/>
        <w:lang w:val="id-ID"/>
      </w:rPr>
      <w:t xml:space="preserve">Pythagoras, Print </w:t>
    </w:r>
    <w:r w:rsidRPr="002759C4">
      <w:rPr>
        <w:rFonts w:ascii="Trebuchet MS" w:hAnsi="Trebuchet MS"/>
        <w:spacing w:val="-6"/>
        <w:sz w:val="20"/>
        <w:szCs w:val="20"/>
      </w:rPr>
      <w:t xml:space="preserve">ISSN: </w:t>
    </w:r>
    <w:r w:rsidRPr="002759C4">
      <w:rPr>
        <w:rFonts w:ascii="Trebuchet MS" w:hAnsi="Trebuchet MS"/>
        <w:spacing w:val="-6"/>
        <w:sz w:val="20"/>
        <w:szCs w:val="20"/>
        <w:lang w:val="id-ID"/>
      </w:rPr>
      <w:t>1978</w:t>
    </w:r>
    <w:r w:rsidRPr="002759C4">
      <w:rPr>
        <w:rFonts w:ascii="Trebuchet MS" w:hAnsi="Trebuchet MS"/>
        <w:spacing w:val="-6"/>
        <w:sz w:val="20"/>
        <w:szCs w:val="20"/>
      </w:rPr>
      <w:t>-</w:t>
    </w:r>
    <w:r>
      <w:rPr>
        <w:rFonts w:ascii="Trebuchet MS" w:hAnsi="Trebuchet MS"/>
        <w:spacing w:val="-6"/>
        <w:sz w:val="20"/>
        <w:szCs w:val="20"/>
        <w:lang w:val="id-ID"/>
      </w:rPr>
      <w:t>4538, Online ISSN</w:t>
    </w:r>
    <w:r w:rsidRPr="002759C4">
      <w:rPr>
        <w:rFonts w:ascii="Trebuchet MS" w:hAnsi="Trebuchet MS"/>
        <w:spacing w:val="-6"/>
        <w:sz w:val="20"/>
        <w:szCs w:val="20"/>
        <w:lang w:val="id-ID"/>
      </w:rPr>
      <w:t>: 2527-421X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9D7E0" w14:textId="77777777" w:rsidR="001177D5" w:rsidRPr="002759C4" w:rsidRDefault="001177D5" w:rsidP="00DE4944">
    <w:pPr>
      <w:pStyle w:val="Footer"/>
      <w:jc w:val="center"/>
      <w:rPr>
        <w:rFonts w:ascii="Trebuchet MS" w:hAnsi="Trebuchet MS"/>
        <w:spacing w:val="-6"/>
      </w:rPr>
    </w:pPr>
    <w:r w:rsidRPr="002759C4">
      <w:rPr>
        <w:rFonts w:ascii="Trebuchet MS" w:hAnsi="Trebuchet MS"/>
        <w:noProof/>
        <w:spacing w:val="-6"/>
        <w:sz w:val="20"/>
        <w:szCs w:val="20"/>
      </w:rPr>
      <mc:AlternateContent>
        <mc:Choice Requires="wps">
          <w:drawing>
            <wp:anchor distT="0" distB="0" distL="114300" distR="114300" simplePos="0" relativeHeight="251664384" behindDoc="1" locked="0" layoutInCell="1" allowOverlap="1" wp14:anchorId="052DE75A" wp14:editId="4D111208">
              <wp:simplePos x="0" y="0"/>
              <wp:positionH relativeFrom="column">
                <wp:posOffset>-1285875</wp:posOffset>
              </wp:positionH>
              <wp:positionV relativeFrom="paragraph">
                <wp:posOffset>-66675</wp:posOffset>
              </wp:positionV>
              <wp:extent cx="7753350" cy="276225"/>
              <wp:effectExtent l="0" t="0" r="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0" cy="276225"/>
                      </a:xfrm>
                      <a:prstGeom prst="rect">
                        <a:avLst/>
                      </a:prstGeom>
                      <a:gradFill rotWithShape="1">
                        <a:gsLst>
                          <a:gs pos="0">
                            <a:schemeClr val="bg1">
                              <a:lumMod val="100000"/>
                              <a:lumOff val="0"/>
                            </a:schemeClr>
                          </a:gs>
                          <a:gs pos="100000">
                            <a:srgbClr val="800000">
                              <a:alpha val="86000"/>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D4EE3" id="Rectangle 5" o:spid="_x0000_s1026" style="position:absolute;margin-left:-101.25pt;margin-top:-5.25pt;width:610.5pt;height:2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" fillcolor="white [3212]" stroked="f">
              <v:fill color2="maroon" o:opacity2="56360f" rotate="t" angle="90" focus="100%" type="gradient"/>
            </v:rect>
          </w:pict>
        </mc:Fallback>
      </mc:AlternateContent>
    </w:r>
    <w:r w:rsidRPr="002759C4">
      <w:rPr>
        <w:rFonts w:ascii="Trebuchet MS" w:hAnsi="Trebuchet MS"/>
        <w:spacing w:val="-6"/>
        <w:sz w:val="20"/>
        <w:szCs w:val="20"/>
      </w:rPr>
      <w:t>Copyright © 20</w:t>
    </w:r>
    <w:r w:rsidR="00570A45">
      <w:rPr>
        <w:rFonts w:ascii="Trebuchet MS" w:hAnsi="Trebuchet MS"/>
        <w:spacing w:val="-6"/>
        <w:sz w:val="20"/>
        <w:szCs w:val="20"/>
        <w:lang w:val="id-ID"/>
      </w:rPr>
      <w:t>22</w:t>
    </w:r>
    <w:r w:rsidRPr="002759C4">
      <w:rPr>
        <w:rFonts w:ascii="Trebuchet MS" w:hAnsi="Trebuchet MS"/>
        <w:spacing w:val="-6"/>
        <w:sz w:val="20"/>
        <w:szCs w:val="20"/>
      </w:rPr>
      <w:t xml:space="preserve">, </w:t>
    </w:r>
    <w:r w:rsidRPr="002759C4">
      <w:rPr>
        <w:rFonts w:ascii="Trebuchet MS" w:hAnsi="Trebuchet MS"/>
        <w:spacing w:val="-6"/>
        <w:sz w:val="20"/>
        <w:szCs w:val="20"/>
        <w:lang w:val="id-ID"/>
      </w:rPr>
      <w:t xml:space="preserve">Pythagoras, Print </w:t>
    </w:r>
    <w:r w:rsidRPr="002759C4">
      <w:rPr>
        <w:rFonts w:ascii="Trebuchet MS" w:hAnsi="Trebuchet MS"/>
        <w:spacing w:val="-6"/>
        <w:sz w:val="20"/>
        <w:szCs w:val="20"/>
      </w:rPr>
      <w:t xml:space="preserve">ISSN: </w:t>
    </w:r>
    <w:r w:rsidRPr="002759C4">
      <w:rPr>
        <w:rFonts w:ascii="Trebuchet MS" w:hAnsi="Trebuchet MS"/>
        <w:spacing w:val="-6"/>
        <w:sz w:val="20"/>
        <w:szCs w:val="20"/>
        <w:lang w:val="id-ID"/>
      </w:rPr>
      <w:t>1978</w:t>
    </w:r>
    <w:r w:rsidRPr="002759C4">
      <w:rPr>
        <w:rFonts w:ascii="Trebuchet MS" w:hAnsi="Trebuchet MS"/>
        <w:spacing w:val="-6"/>
        <w:sz w:val="20"/>
        <w:szCs w:val="20"/>
      </w:rPr>
      <w:t>-</w:t>
    </w:r>
    <w:r w:rsidRPr="002759C4">
      <w:rPr>
        <w:rFonts w:ascii="Trebuchet MS" w:hAnsi="Trebuchet MS"/>
        <w:spacing w:val="-6"/>
        <w:sz w:val="20"/>
        <w:szCs w:val="20"/>
        <w:lang w:val="id-ID"/>
      </w:rPr>
      <w:t>4538, Online ISSN: 2527-421X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EC57" w14:textId="77777777" w:rsidR="001177D5" w:rsidRPr="00B723CD" w:rsidRDefault="001177D5" w:rsidP="00B723CD">
    <w:pPr>
      <w:pStyle w:val="Footer"/>
      <w:jc w:val="center"/>
      <w:rPr>
        <w:rFonts w:ascii="Trebuchet MS" w:hAnsi="Trebuchet MS"/>
        <w:spacing w:val="-6"/>
        <w:sz w:val="20"/>
        <w:szCs w:val="20"/>
      </w:rPr>
    </w:pPr>
    <w:r w:rsidRPr="00572390">
      <w:rPr>
        <w:rFonts w:ascii="Trebuchet MS" w:hAnsi="Trebuchet MS"/>
        <w:noProof/>
        <w:spacing w:val="-6"/>
        <w:sz w:val="20"/>
        <w:szCs w:val="20"/>
      </w:rPr>
      <mc:AlternateContent>
        <mc:Choice Requires="wps">
          <w:drawing>
            <wp:anchor distT="0" distB="0" distL="114300" distR="114300" simplePos="0" relativeHeight="251666432" behindDoc="1" locked="0" layoutInCell="1" allowOverlap="1" wp14:anchorId="17A2EABA" wp14:editId="60138E9A">
              <wp:simplePos x="0" y="0"/>
              <wp:positionH relativeFrom="column">
                <wp:posOffset>-1270635</wp:posOffset>
              </wp:positionH>
              <wp:positionV relativeFrom="paragraph">
                <wp:posOffset>-76835</wp:posOffset>
              </wp:positionV>
              <wp:extent cx="7753350" cy="276225"/>
              <wp:effectExtent l="0" t="0" r="0" b="952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0" cy="276225"/>
                      </a:xfrm>
                      <a:prstGeom prst="rect">
                        <a:avLst/>
                      </a:prstGeom>
                      <a:gradFill rotWithShape="1">
                        <a:gsLst>
                          <a:gs pos="0">
                            <a:schemeClr val="bg1">
                              <a:lumMod val="100000"/>
                              <a:lumOff val="0"/>
                            </a:schemeClr>
                          </a:gs>
                          <a:gs pos="100000">
                            <a:srgbClr val="800000">
                              <a:alpha val="86000"/>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521D4" id="Rectangle 4" o:spid="_x0000_s1026" style="position:absolute;margin-left:-100.05pt;margin-top:-6.05pt;width:610.5pt;height:2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" fillcolor="white [3212]" stroked="f">
              <v:fill color2="maroon" o:opacity2="56360f" rotate="t" angle="90" focus="100%" type="gradient"/>
            </v:rect>
          </w:pict>
        </mc:Fallback>
      </mc:AlternateContent>
    </w:r>
    <w:r w:rsidRPr="00572390">
      <w:rPr>
        <w:rFonts w:ascii="Trebuchet MS" w:hAnsi="Trebuchet MS"/>
        <w:spacing w:val="-6"/>
        <w:sz w:val="20"/>
        <w:szCs w:val="20"/>
      </w:rPr>
      <w:t>Copyright © 20</w:t>
    </w:r>
    <w:r>
      <w:rPr>
        <w:rFonts w:ascii="Trebuchet MS" w:hAnsi="Trebuchet MS"/>
        <w:spacing w:val="-6"/>
        <w:sz w:val="20"/>
        <w:szCs w:val="20"/>
        <w:lang w:val="id-ID"/>
      </w:rPr>
      <w:t>20</w:t>
    </w:r>
    <w:r w:rsidRPr="00572390">
      <w:rPr>
        <w:rFonts w:ascii="Trebuchet MS" w:hAnsi="Trebuchet MS"/>
        <w:spacing w:val="-6"/>
        <w:sz w:val="20"/>
        <w:szCs w:val="20"/>
      </w:rPr>
      <w:t xml:space="preserve">, </w:t>
    </w:r>
    <w:r w:rsidRPr="00572390">
      <w:rPr>
        <w:rFonts w:ascii="Trebuchet MS" w:hAnsi="Trebuchet MS"/>
        <w:spacing w:val="-6"/>
        <w:sz w:val="20"/>
        <w:szCs w:val="20"/>
        <w:lang w:val="id-ID"/>
      </w:rPr>
      <w:t xml:space="preserve">Pythagoras, Print </w:t>
    </w:r>
    <w:r w:rsidRPr="00572390">
      <w:rPr>
        <w:rFonts w:ascii="Trebuchet MS" w:hAnsi="Trebuchet MS"/>
        <w:spacing w:val="-6"/>
        <w:sz w:val="20"/>
        <w:szCs w:val="20"/>
      </w:rPr>
      <w:t xml:space="preserve">ISSN: </w:t>
    </w:r>
    <w:r w:rsidRPr="00572390">
      <w:rPr>
        <w:rFonts w:ascii="Trebuchet MS" w:hAnsi="Trebuchet MS"/>
        <w:spacing w:val="-6"/>
        <w:sz w:val="20"/>
        <w:szCs w:val="20"/>
        <w:lang w:val="id-ID"/>
      </w:rPr>
      <w:t>1978</w:t>
    </w:r>
    <w:r w:rsidRPr="00572390">
      <w:rPr>
        <w:rFonts w:ascii="Trebuchet MS" w:hAnsi="Trebuchet MS"/>
        <w:spacing w:val="-6"/>
        <w:sz w:val="20"/>
        <w:szCs w:val="20"/>
      </w:rPr>
      <w:t>-</w:t>
    </w:r>
    <w:r w:rsidRPr="00572390">
      <w:rPr>
        <w:rFonts w:ascii="Trebuchet MS" w:hAnsi="Trebuchet MS"/>
        <w:spacing w:val="-6"/>
        <w:sz w:val="20"/>
        <w:szCs w:val="20"/>
        <w:lang w:val="id-ID"/>
      </w:rPr>
      <w:t>4538, Online ISS</w:t>
    </w:r>
    <w:r w:rsidRPr="00572390">
      <w:rPr>
        <w:rFonts w:ascii="Trebuchet MS" w:hAnsi="Trebuchet MS"/>
        <w:spacing w:val="-6"/>
        <w:sz w:val="20"/>
        <w:szCs w:val="20"/>
      </w:rPr>
      <w:t>N</w:t>
    </w:r>
    <w:r w:rsidRPr="00572390">
      <w:rPr>
        <w:rFonts w:ascii="Trebuchet MS" w:hAnsi="Trebuchet MS"/>
        <w:spacing w:val="-6"/>
        <w:sz w:val="20"/>
        <w:szCs w:val="20"/>
        <w:lang w:val="id-ID"/>
      </w:rPr>
      <w:t>: 2527-421X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E4F89" w14:textId="77777777" w:rsidR="008D4A18" w:rsidRDefault="008D4A18">
      <w:r>
        <w:separator/>
      </w:r>
    </w:p>
    <w:p w14:paraId="674E2970" w14:textId="77777777" w:rsidR="008D4A18" w:rsidRDefault="008D4A18"/>
  </w:footnote>
  <w:footnote w:type="continuationSeparator" w:id="0">
    <w:p w14:paraId="4434E4F6" w14:textId="77777777" w:rsidR="008D4A18" w:rsidRDefault="008D4A18">
      <w:r>
        <w:continuationSeparator/>
      </w:r>
    </w:p>
    <w:p w14:paraId="3C409B04" w14:textId="77777777" w:rsidR="008D4A18" w:rsidRDefault="008D4A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9057"/>
    </w:tblGrid>
    <w:tr w:rsidR="001177D5" w14:paraId="783A9698" w14:textId="77777777" w:rsidTr="004D5AA0">
      <w:tc>
        <w:tcPr>
          <w:tcW w:w="9062" w:type="dxa"/>
          <w:tcBorders>
            <w:top w:val="nil"/>
            <w:left w:val="nil"/>
            <w:bottom w:val="single" w:sz="12" w:space="0" w:color="800000"/>
            <w:right w:val="single" w:sz="12" w:space="0" w:color="800000"/>
          </w:tcBorders>
        </w:tcPr>
        <w:p w14:paraId="3C181900" w14:textId="77777777" w:rsidR="001177D5" w:rsidRPr="00B452B4" w:rsidRDefault="001177D5" w:rsidP="004D5AA0">
          <w:pPr>
            <w:pStyle w:val="Header"/>
            <w:jc w:val="right"/>
            <w:rPr>
              <w:rFonts w:ascii="Trebuchet MS" w:hAnsi="Trebuchet MS"/>
              <w:b/>
              <w:spacing w:val="-6"/>
              <w:sz w:val="20"/>
              <w:szCs w:val="20"/>
              <w:lang w:val="id-ID"/>
            </w:rPr>
          </w:pPr>
          <w:r w:rsidRPr="004D5AA0">
            <w:rPr>
              <w:rFonts w:ascii="Trebuchet MS" w:hAnsi="Trebuchet MS"/>
              <w:b/>
              <w:color w:val="800000"/>
              <w:spacing w:val="-6"/>
              <w:sz w:val="20"/>
              <w:szCs w:val="20"/>
              <w:lang w:val="id-ID"/>
            </w:rPr>
            <w:t>PYTHAGORAS</w:t>
          </w:r>
          <w:r w:rsidRPr="004D5AA0">
            <w:rPr>
              <w:rFonts w:ascii="Trebuchet MS" w:hAnsi="Trebuchet MS"/>
              <w:b/>
              <w:color w:val="800000"/>
              <w:spacing w:val="-6"/>
              <w:sz w:val="20"/>
              <w:szCs w:val="20"/>
            </w:rPr>
            <w:t>: Jurnal Pendidikan Matematika</w:t>
          </w:r>
          <w:r w:rsidRPr="004D5AA0">
            <w:rPr>
              <w:rFonts w:ascii="Trebuchet MS" w:hAnsi="Trebuchet MS"/>
              <w:b/>
              <w:color w:val="800000"/>
              <w:spacing w:val="-6"/>
              <w:sz w:val="20"/>
              <w:szCs w:val="20"/>
              <w:lang w:val="id-ID"/>
            </w:rPr>
            <w:t>, 1</w:t>
          </w:r>
          <w:r>
            <w:rPr>
              <w:rFonts w:ascii="Trebuchet MS" w:hAnsi="Trebuchet MS"/>
              <w:b/>
              <w:color w:val="800000"/>
              <w:spacing w:val="-6"/>
              <w:sz w:val="20"/>
              <w:szCs w:val="20"/>
              <w:lang w:val="id-ID"/>
            </w:rPr>
            <w:t>5</w:t>
          </w:r>
          <w:r w:rsidRPr="004D5AA0">
            <w:rPr>
              <w:rFonts w:ascii="Trebuchet MS" w:hAnsi="Trebuchet MS"/>
              <w:b/>
              <w:color w:val="800000"/>
              <w:spacing w:val="-6"/>
              <w:sz w:val="20"/>
              <w:szCs w:val="20"/>
            </w:rPr>
            <w:t xml:space="preserve"> </w:t>
          </w:r>
          <w:r>
            <w:rPr>
              <w:rFonts w:ascii="Trebuchet MS" w:hAnsi="Trebuchet MS"/>
              <w:b/>
              <w:color w:val="800000"/>
              <w:spacing w:val="-6"/>
              <w:sz w:val="20"/>
              <w:szCs w:val="20"/>
              <w:lang w:val="id-ID"/>
            </w:rPr>
            <w:t>(1</w:t>
          </w:r>
          <w:r w:rsidRPr="004D5AA0">
            <w:rPr>
              <w:rFonts w:ascii="Trebuchet MS" w:hAnsi="Trebuchet MS"/>
              <w:b/>
              <w:color w:val="800000"/>
              <w:spacing w:val="-6"/>
              <w:sz w:val="20"/>
              <w:szCs w:val="20"/>
              <w:lang w:val="id-ID"/>
            </w:rPr>
            <w:t>), 20</w:t>
          </w:r>
          <w:r>
            <w:rPr>
              <w:rFonts w:ascii="Trebuchet MS" w:hAnsi="Trebuchet MS"/>
              <w:b/>
              <w:color w:val="800000"/>
              <w:spacing w:val="-6"/>
              <w:sz w:val="20"/>
              <w:szCs w:val="20"/>
              <w:lang w:val="id-ID"/>
            </w:rPr>
            <w:t>22</w:t>
          </w:r>
          <w:r w:rsidRPr="004D5AA0">
            <w:rPr>
              <w:rFonts w:ascii="Trebuchet MS" w:hAnsi="Trebuchet MS"/>
              <w:b/>
              <w:color w:val="800000"/>
              <w:spacing w:val="-6"/>
              <w:sz w:val="20"/>
              <w:szCs w:val="20"/>
              <w:lang w:val="id-ID"/>
            </w:rPr>
            <w:t xml:space="preserve"> </w:t>
          </w:r>
          <w:r w:rsidRPr="00B452B4">
            <w:rPr>
              <w:rFonts w:ascii="Trebuchet MS" w:hAnsi="Trebuchet MS"/>
              <w:b/>
              <w:spacing w:val="-6"/>
              <w:sz w:val="20"/>
              <w:szCs w:val="20"/>
              <w:lang w:val="id-ID"/>
            </w:rPr>
            <w:t xml:space="preserve">- </w:t>
          </w:r>
          <w:r w:rsidRPr="00B452B4">
            <w:rPr>
              <w:rFonts w:ascii="Trebuchet MS" w:hAnsi="Trebuchet MS"/>
              <w:b/>
              <w:spacing w:val="-6"/>
              <w:sz w:val="20"/>
              <w:szCs w:val="20"/>
              <w:lang w:val="id-ID"/>
            </w:rPr>
            <w:fldChar w:fldCharType="begin"/>
          </w:r>
          <w:r w:rsidRPr="00B452B4">
            <w:rPr>
              <w:rFonts w:ascii="Trebuchet MS" w:hAnsi="Trebuchet MS"/>
              <w:b/>
              <w:spacing w:val="-6"/>
              <w:sz w:val="20"/>
              <w:szCs w:val="20"/>
              <w:lang w:val="id-ID"/>
            </w:rPr>
            <w:instrText xml:space="preserve"> PAGE   \* MERGEFORMAT </w:instrText>
          </w:r>
          <w:r w:rsidRPr="00B452B4">
            <w:rPr>
              <w:rFonts w:ascii="Trebuchet MS" w:hAnsi="Trebuchet MS"/>
              <w:b/>
              <w:spacing w:val="-6"/>
              <w:sz w:val="20"/>
              <w:szCs w:val="20"/>
              <w:lang w:val="id-ID"/>
            </w:rPr>
            <w:fldChar w:fldCharType="separate"/>
          </w:r>
          <w:r w:rsidR="00570A45">
            <w:rPr>
              <w:rFonts w:ascii="Trebuchet MS" w:hAnsi="Trebuchet MS"/>
              <w:b/>
              <w:noProof/>
              <w:spacing w:val="-6"/>
              <w:sz w:val="20"/>
              <w:szCs w:val="20"/>
              <w:lang w:val="id-ID"/>
            </w:rPr>
            <w:t>2</w:t>
          </w:r>
          <w:r w:rsidRPr="00B452B4">
            <w:rPr>
              <w:rFonts w:ascii="Trebuchet MS" w:hAnsi="Trebuchet MS"/>
              <w:b/>
              <w:spacing w:val="-6"/>
              <w:sz w:val="20"/>
              <w:szCs w:val="20"/>
              <w:lang w:val="id-ID"/>
            </w:rPr>
            <w:fldChar w:fldCharType="end"/>
          </w:r>
        </w:p>
        <w:p w14:paraId="0383F42A" w14:textId="77777777" w:rsidR="001177D5" w:rsidRPr="002759C4" w:rsidRDefault="001177D5" w:rsidP="005A40BB">
          <w:pPr>
            <w:pStyle w:val="Header"/>
            <w:spacing w:before="40" w:after="40"/>
            <w:jc w:val="right"/>
            <w:rPr>
              <w:rFonts w:asciiTheme="minorHAnsi" w:hAnsiTheme="minorHAnsi"/>
              <w:spacing w:val="-6"/>
              <w:sz w:val="22"/>
              <w:szCs w:val="22"/>
            </w:rPr>
          </w:pPr>
          <w:r>
            <w:rPr>
              <w:rFonts w:ascii="Trebuchet MS" w:hAnsi="Trebuchet MS"/>
              <w:spacing w:val="-6"/>
              <w:sz w:val="20"/>
              <w:szCs w:val="20"/>
            </w:rPr>
            <w:t>Siti Zahra Zahrona</w:t>
          </w:r>
          <w:r w:rsidRPr="00B452B4">
            <w:rPr>
              <w:rFonts w:ascii="Trebuchet MS" w:hAnsi="Trebuchet MS"/>
              <w:spacing w:val="-6"/>
              <w:sz w:val="20"/>
              <w:szCs w:val="20"/>
            </w:rPr>
            <w:t xml:space="preserve">, </w:t>
          </w:r>
          <w:r>
            <w:rPr>
              <w:rFonts w:ascii="Trebuchet MS" w:hAnsi="Trebuchet MS"/>
              <w:spacing w:val="-6"/>
              <w:sz w:val="20"/>
              <w:szCs w:val="20"/>
            </w:rPr>
            <w:t>Djamilah Bondan Widjajanti</w:t>
          </w:r>
        </w:p>
      </w:tc>
    </w:tr>
  </w:tbl>
  <w:p w14:paraId="7AB02CEB" w14:textId="77777777" w:rsidR="001177D5" w:rsidRPr="00B723CD" w:rsidRDefault="001177D5">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9057"/>
    </w:tblGrid>
    <w:tr w:rsidR="001177D5" w14:paraId="307EC01A" w14:textId="77777777" w:rsidTr="004D5AA0">
      <w:tc>
        <w:tcPr>
          <w:tcW w:w="9062" w:type="dxa"/>
          <w:tcBorders>
            <w:top w:val="nil"/>
            <w:left w:val="single" w:sz="12" w:space="0" w:color="800000"/>
            <w:bottom w:val="single" w:sz="12" w:space="0" w:color="800000"/>
            <w:right w:val="nil"/>
          </w:tcBorders>
        </w:tcPr>
        <w:p w14:paraId="591E887F" w14:textId="77777777" w:rsidR="001177D5" w:rsidRPr="00B452B4" w:rsidRDefault="001177D5" w:rsidP="004D5AA0">
          <w:pPr>
            <w:pStyle w:val="Header"/>
            <w:rPr>
              <w:rFonts w:ascii="Trebuchet MS" w:hAnsi="Trebuchet MS"/>
              <w:b/>
              <w:spacing w:val="-6"/>
              <w:sz w:val="20"/>
              <w:szCs w:val="20"/>
              <w:lang w:val="id-ID"/>
            </w:rPr>
          </w:pPr>
          <w:r w:rsidRPr="004D5AA0">
            <w:rPr>
              <w:rFonts w:ascii="Trebuchet MS" w:hAnsi="Trebuchet MS"/>
              <w:b/>
              <w:color w:val="800000"/>
              <w:spacing w:val="-6"/>
              <w:sz w:val="20"/>
              <w:szCs w:val="20"/>
              <w:lang w:val="id-ID"/>
            </w:rPr>
            <w:t>PYTHAGORAS</w:t>
          </w:r>
          <w:r w:rsidRPr="004D5AA0">
            <w:rPr>
              <w:rFonts w:ascii="Trebuchet MS" w:hAnsi="Trebuchet MS"/>
              <w:b/>
              <w:color w:val="800000"/>
              <w:spacing w:val="-6"/>
              <w:sz w:val="20"/>
              <w:szCs w:val="20"/>
            </w:rPr>
            <w:t>: Jurnal Pendidikan Matematika</w:t>
          </w:r>
          <w:r>
            <w:rPr>
              <w:rFonts w:ascii="Trebuchet MS" w:hAnsi="Trebuchet MS"/>
              <w:b/>
              <w:color w:val="800000"/>
              <w:spacing w:val="-6"/>
              <w:sz w:val="20"/>
              <w:szCs w:val="20"/>
              <w:lang w:val="id-ID"/>
            </w:rPr>
            <w:t>, 15 (1</w:t>
          </w:r>
          <w:r w:rsidRPr="004D5AA0">
            <w:rPr>
              <w:rFonts w:ascii="Trebuchet MS" w:hAnsi="Trebuchet MS"/>
              <w:b/>
              <w:color w:val="800000"/>
              <w:spacing w:val="-6"/>
              <w:sz w:val="20"/>
              <w:szCs w:val="20"/>
              <w:lang w:val="id-ID"/>
            </w:rPr>
            <w:t>), 20</w:t>
          </w:r>
          <w:r w:rsidR="00570A45">
            <w:rPr>
              <w:rFonts w:ascii="Trebuchet MS" w:hAnsi="Trebuchet MS"/>
              <w:b/>
              <w:color w:val="800000"/>
              <w:spacing w:val="-6"/>
              <w:sz w:val="20"/>
              <w:szCs w:val="20"/>
              <w:lang w:val="id-ID"/>
            </w:rPr>
            <w:t>22</w:t>
          </w:r>
          <w:r w:rsidRPr="004D5AA0">
            <w:rPr>
              <w:rFonts w:ascii="Trebuchet MS" w:hAnsi="Trebuchet MS"/>
              <w:b/>
              <w:color w:val="800000"/>
              <w:spacing w:val="-6"/>
              <w:sz w:val="20"/>
              <w:szCs w:val="20"/>
              <w:lang w:val="id-ID"/>
            </w:rPr>
            <w:t xml:space="preserve"> </w:t>
          </w:r>
          <w:r w:rsidRPr="00B452B4">
            <w:rPr>
              <w:rFonts w:ascii="Trebuchet MS" w:hAnsi="Trebuchet MS"/>
              <w:b/>
              <w:spacing w:val="-6"/>
              <w:sz w:val="20"/>
              <w:szCs w:val="20"/>
              <w:lang w:val="id-ID"/>
            </w:rPr>
            <w:t xml:space="preserve">- </w:t>
          </w:r>
          <w:r w:rsidRPr="00B452B4">
            <w:rPr>
              <w:rFonts w:ascii="Trebuchet MS" w:hAnsi="Trebuchet MS"/>
              <w:b/>
              <w:spacing w:val="-6"/>
              <w:sz w:val="20"/>
              <w:szCs w:val="20"/>
              <w:lang w:val="id-ID"/>
            </w:rPr>
            <w:fldChar w:fldCharType="begin"/>
          </w:r>
          <w:r w:rsidRPr="00B452B4">
            <w:rPr>
              <w:rFonts w:ascii="Trebuchet MS" w:hAnsi="Trebuchet MS"/>
              <w:b/>
              <w:spacing w:val="-6"/>
              <w:sz w:val="20"/>
              <w:szCs w:val="20"/>
              <w:lang w:val="id-ID"/>
            </w:rPr>
            <w:instrText xml:space="preserve"> PAGE   \* MERGEFORMAT </w:instrText>
          </w:r>
          <w:r w:rsidRPr="00B452B4">
            <w:rPr>
              <w:rFonts w:ascii="Trebuchet MS" w:hAnsi="Trebuchet MS"/>
              <w:b/>
              <w:spacing w:val="-6"/>
              <w:sz w:val="20"/>
              <w:szCs w:val="20"/>
              <w:lang w:val="id-ID"/>
            </w:rPr>
            <w:fldChar w:fldCharType="separate"/>
          </w:r>
          <w:r w:rsidR="00570A45">
            <w:rPr>
              <w:rFonts w:ascii="Trebuchet MS" w:hAnsi="Trebuchet MS"/>
              <w:b/>
              <w:noProof/>
              <w:spacing w:val="-6"/>
              <w:sz w:val="20"/>
              <w:szCs w:val="20"/>
              <w:lang w:val="id-ID"/>
            </w:rPr>
            <w:t>7</w:t>
          </w:r>
          <w:r w:rsidRPr="00B452B4">
            <w:rPr>
              <w:rFonts w:ascii="Trebuchet MS" w:hAnsi="Trebuchet MS"/>
              <w:b/>
              <w:spacing w:val="-6"/>
              <w:sz w:val="20"/>
              <w:szCs w:val="20"/>
              <w:lang w:val="id-ID"/>
            </w:rPr>
            <w:fldChar w:fldCharType="end"/>
          </w:r>
        </w:p>
        <w:p w14:paraId="03676448" w14:textId="77777777" w:rsidR="001177D5" w:rsidRPr="002759C4" w:rsidRDefault="001177D5" w:rsidP="005E4143">
          <w:pPr>
            <w:pStyle w:val="Header"/>
            <w:spacing w:before="40" w:after="40"/>
            <w:rPr>
              <w:rFonts w:asciiTheme="minorHAnsi" w:hAnsiTheme="minorHAnsi"/>
              <w:spacing w:val="-6"/>
              <w:sz w:val="22"/>
              <w:szCs w:val="22"/>
            </w:rPr>
          </w:pPr>
          <w:r>
            <w:rPr>
              <w:rFonts w:ascii="Trebuchet MS" w:hAnsi="Trebuchet MS"/>
              <w:spacing w:val="-6"/>
              <w:sz w:val="20"/>
              <w:szCs w:val="20"/>
            </w:rPr>
            <w:t>Siti Zahra Zahrona</w:t>
          </w:r>
          <w:r w:rsidRPr="00B452B4">
            <w:rPr>
              <w:rFonts w:ascii="Trebuchet MS" w:hAnsi="Trebuchet MS"/>
              <w:spacing w:val="-6"/>
              <w:sz w:val="20"/>
              <w:szCs w:val="20"/>
            </w:rPr>
            <w:t xml:space="preserve">, </w:t>
          </w:r>
          <w:r>
            <w:rPr>
              <w:rFonts w:ascii="Trebuchet MS" w:hAnsi="Trebuchet MS"/>
              <w:spacing w:val="-6"/>
              <w:sz w:val="20"/>
              <w:szCs w:val="20"/>
            </w:rPr>
            <w:t>Djamilah Bondan Widjajanti</w:t>
          </w:r>
        </w:p>
      </w:tc>
    </w:tr>
  </w:tbl>
  <w:p w14:paraId="099C63CA" w14:textId="77777777" w:rsidR="001177D5" w:rsidRDefault="001177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2" w:space="0" w:color="800000"/>
        <w:left w:val="none" w:sz="0" w:space="0" w:color="auto"/>
        <w:bottom w:val="single" w:sz="12" w:space="0" w:color="800000"/>
        <w:right w:val="none" w:sz="0" w:space="0" w:color="auto"/>
        <w:insideH w:val="none" w:sz="0" w:space="0" w:color="auto"/>
        <w:insideV w:val="none" w:sz="0" w:space="0" w:color="auto"/>
      </w:tblBorders>
      <w:tblLook w:val="04A0" w:firstRow="1" w:lastRow="0" w:firstColumn="1" w:lastColumn="0" w:noHBand="0" w:noVBand="1"/>
    </w:tblPr>
    <w:tblGrid>
      <w:gridCol w:w="815"/>
      <w:gridCol w:w="8227"/>
    </w:tblGrid>
    <w:tr w:rsidR="001177D5" w14:paraId="6F7184A0" w14:textId="77777777" w:rsidTr="001358D5">
      <w:trPr>
        <w:trHeight w:val="850"/>
      </w:trPr>
      <w:tc>
        <w:tcPr>
          <w:tcW w:w="817" w:type="dxa"/>
          <w:tcBorders>
            <w:left w:val="single" w:sz="12" w:space="0" w:color="800000"/>
            <w:bottom w:val="single" w:sz="12" w:space="0" w:color="800000"/>
          </w:tcBorders>
          <w:shd w:val="clear" w:color="auto" w:fill="auto"/>
          <w:vAlign w:val="center"/>
        </w:tcPr>
        <w:p w14:paraId="1DB44DB1" w14:textId="77777777" w:rsidR="001177D5" w:rsidRDefault="001177D5" w:rsidP="00B723CD">
          <w:pPr>
            <w:pStyle w:val="Header"/>
            <w:spacing w:before="40" w:after="40"/>
            <w:jc w:val="center"/>
            <w:rPr>
              <w:rFonts w:ascii="Cambria" w:hAnsi="Cambria"/>
              <w:sz w:val="20"/>
              <w:szCs w:val="20"/>
              <w:lang w:val="id-ID"/>
            </w:rPr>
          </w:pPr>
          <w:r>
            <w:rPr>
              <w:noProof/>
            </w:rPr>
            <w:drawing>
              <wp:inline distT="0" distB="0" distL="0" distR="0" wp14:anchorId="22ED8870" wp14:editId="0D97E7C3">
                <wp:extent cx="352425" cy="504825"/>
                <wp:effectExtent l="0" t="0" r="9525" b="9525"/>
                <wp:docPr id="87" name="Picture 4" descr="Description: D:\SYARIEF\J U R N A L\JURNAL PPs\PENDIDIKAN MATEMATIKA - S2\PYTHAGORAS\Cover Pythagoras\Cover 2016\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SYARIEF\J U R N A L\JURNAL PPs\PENDIDIKAN MATEMATIKA - S2\PYTHAGORAS\Cover Pythagoras\Cover 2016\xx.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425" cy="504825"/>
                        </a:xfrm>
                        <a:prstGeom prst="rect">
                          <a:avLst/>
                        </a:prstGeom>
                        <a:noFill/>
                        <a:ln>
                          <a:noFill/>
                        </a:ln>
                      </pic:spPr>
                    </pic:pic>
                  </a:graphicData>
                </a:graphic>
              </wp:inline>
            </w:drawing>
          </w:r>
        </w:p>
      </w:tc>
      <w:tc>
        <w:tcPr>
          <w:tcW w:w="8471" w:type="dxa"/>
          <w:tcBorders>
            <w:bottom w:val="single" w:sz="12" w:space="0" w:color="800000"/>
            <w:right w:val="single" w:sz="12" w:space="0" w:color="800000"/>
          </w:tcBorders>
          <w:shd w:val="clear" w:color="auto" w:fill="auto"/>
          <w:vAlign w:val="center"/>
        </w:tcPr>
        <w:p w14:paraId="29153EC4" w14:textId="77777777" w:rsidR="001177D5" w:rsidRPr="0065244A" w:rsidRDefault="001177D5" w:rsidP="00B723CD">
          <w:pPr>
            <w:pStyle w:val="Header"/>
            <w:spacing w:before="40" w:after="40"/>
            <w:jc w:val="center"/>
            <w:rPr>
              <w:rFonts w:ascii="Trebuchet MS" w:hAnsi="Trebuchet MS"/>
              <w:sz w:val="22"/>
              <w:szCs w:val="22"/>
              <w:lang w:val="id-ID"/>
            </w:rPr>
          </w:pPr>
          <w:r w:rsidRPr="0065244A">
            <w:rPr>
              <w:rFonts w:ascii="Trebuchet MS" w:hAnsi="Trebuchet MS"/>
              <w:sz w:val="22"/>
              <w:szCs w:val="22"/>
              <w:lang w:val="id-ID"/>
            </w:rPr>
            <w:t>Available online at: http://journal.uny.ac.id/index.php/pythagoras</w:t>
          </w:r>
        </w:p>
        <w:p w14:paraId="2F15B946" w14:textId="77777777" w:rsidR="001177D5" w:rsidRPr="008939B9" w:rsidRDefault="001177D5" w:rsidP="00B723CD">
          <w:pPr>
            <w:pStyle w:val="Header"/>
            <w:spacing w:before="40" w:after="40"/>
            <w:jc w:val="center"/>
            <w:rPr>
              <w:rFonts w:ascii="Century Schoolbook" w:hAnsi="Century Schoolbook"/>
              <w:color w:val="800000"/>
              <w:lang w:val="id-ID"/>
            </w:rPr>
          </w:pPr>
          <w:r w:rsidRPr="0065244A">
            <w:rPr>
              <w:rFonts w:ascii="Trebuchet MS" w:hAnsi="Trebuchet MS"/>
              <w:b/>
              <w:color w:val="800000"/>
              <w:lang w:val="id-ID"/>
            </w:rPr>
            <w:t>PYTHAGORAS: Jurnal Pendidikan Matematika,</w:t>
          </w:r>
          <w:r w:rsidRPr="0065244A">
            <w:rPr>
              <w:rFonts w:ascii="Trebuchet MS" w:hAnsi="Trebuchet MS"/>
              <w:b/>
              <w:color w:val="800000"/>
            </w:rPr>
            <w:t xml:space="preserve"> 1</w:t>
          </w:r>
          <w:r>
            <w:rPr>
              <w:rFonts w:ascii="Trebuchet MS" w:hAnsi="Trebuchet MS"/>
              <w:b/>
              <w:color w:val="800000"/>
              <w:lang w:val="id-ID"/>
            </w:rPr>
            <w:t>5</w:t>
          </w:r>
          <w:r w:rsidRPr="0065244A">
            <w:rPr>
              <w:rFonts w:ascii="Trebuchet MS" w:hAnsi="Trebuchet MS"/>
              <w:b/>
              <w:color w:val="800000"/>
            </w:rPr>
            <w:t xml:space="preserve"> </w:t>
          </w:r>
          <w:r>
            <w:rPr>
              <w:rFonts w:ascii="Trebuchet MS" w:hAnsi="Trebuchet MS"/>
              <w:b/>
              <w:color w:val="800000"/>
              <w:lang w:val="id-ID"/>
            </w:rPr>
            <w:t>(1</w:t>
          </w:r>
          <w:r w:rsidRPr="0065244A">
            <w:rPr>
              <w:rFonts w:ascii="Trebuchet MS" w:hAnsi="Trebuchet MS"/>
              <w:b/>
              <w:color w:val="800000"/>
              <w:lang w:val="id-ID"/>
            </w:rPr>
            <w:t>)</w:t>
          </w:r>
          <w:r w:rsidRPr="0065244A">
            <w:rPr>
              <w:rFonts w:ascii="Trebuchet MS" w:hAnsi="Trebuchet MS"/>
              <w:b/>
              <w:color w:val="800000"/>
            </w:rPr>
            <w:t>, 20</w:t>
          </w:r>
          <w:r w:rsidR="00337F6B">
            <w:rPr>
              <w:rFonts w:ascii="Trebuchet MS" w:hAnsi="Trebuchet MS"/>
              <w:b/>
              <w:color w:val="800000"/>
              <w:lang w:val="id-ID"/>
            </w:rPr>
            <w:t>22</w:t>
          </w:r>
          <w:r w:rsidRPr="0065244A">
            <w:rPr>
              <w:rFonts w:ascii="Trebuchet MS" w:hAnsi="Trebuchet MS"/>
              <w:b/>
              <w:color w:val="800000"/>
              <w:lang w:val="id-ID"/>
            </w:rPr>
            <w:t>, 1-</w:t>
          </w:r>
          <w:r>
            <w:rPr>
              <w:rFonts w:ascii="Trebuchet MS" w:hAnsi="Trebuchet MS"/>
              <w:b/>
              <w:color w:val="800000"/>
              <w:lang w:val="id-ID"/>
            </w:rPr>
            <w:t>5</w:t>
          </w:r>
        </w:p>
      </w:tc>
    </w:tr>
  </w:tbl>
  <w:p w14:paraId="70F9D1ED" w14:textId="77777777" w:rsidR="001177D5" w:rsidRDefault="001177D5" w:rsidP="00B72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07458"/>
    <w:multiLevelType w:val="hybridMultilevel"/>
    <w:tmpl w:val="BF408AAA"/>
    <w:lvl w:ilvl="0" w:tplc="070CC020">
      <w:start w:val="1"/>
      <w:numFmt w:val="decimal"/>
      <w:lvlText w:val="Tabel %1."/>
      <w:lvlJc w:val="right"/>
      <w:pPr>
        <w:ind w:left="36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4911618F"/>
    <w:multiLevelType w:val="hybridMultilevel"/>
    <w:tmpl w:val="5094C378"/>
    <w:lvl w:ilvl="0" w:tplc="805A9CA6">
      <w:numFmt w:val="bullet"/>
      <w:lvlText w:val="-"/>
      <w:lvlJc w:val="left"/>
      <w:pPr>
        <w:ind w:left="1103" w:hanging="360"/>
      </w:pPr>
      <w:rPr>
        <w:rFonts w:ascii="Times New Roman" w:eastAsia="Times New Roman" w:hAnsi="Times New Roman" w:hint="default"/>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2" w15:restartNumberingAfterBreak="0">
    <w:nsid w:val="571A3A86"/>
    <w:multiLevelType w:val="hybridMultilevel"/>
    <w:tmpl w:val="5F0E04DA"/>
    <w:lvl w:ilvl="0" w:tplc="5E486F9A">
      <w:start w:val="1"/>
      <w:numFmt w:val="decimal"/>
      <w:lvlText w:val="Gambar %1."/>
      <w:lvlJc w:val="righ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71D12756"/>
    <w:multiLevelType w:val="multilevel"/>
    <w:tmpl w:val="A05A290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22D7F05"/>
    <w:multiLevelType w:val="hybridMultilevel"/>
    <w:tmpl w:val="58F060C2"/>
    <w:lvl w:ilvl="0" w:tplc="BF1662C6">
      <w:start w:val="1"/>
      <w:numFmt w:val="bullet"/>
      <w:lvlText w:val=""/>
      <w:lvlJc w:val="left"/>
      <w:pPr>
        <w:ind w:left="1463" w:hanging="360"/>
      </w:pPr>
      <w:rPr>
        <w:rFonts w:ascii="Symbol" w:hAnsi="Symbol" w:hint="default"/>
      </w:rPr>
    </w:lvl>
    <w:lvl w:ilvl="1" w:tplc="04210003" w:tentative="1">
      <w:start w:val="1"/>
      <w:numFmt w:val="bullet"/>
      <w:lvlText w:val="o"/>
      <w:lvlJc w:val="left"/>
      <w:pPr>
        <w:ind w:left="2183" w:hanging="360"/>
      </w:pPr>
      <w:rPr>
        <w:rFonts w:ascii="Courier New" w:hAnsi="Courier New" w:hint="default"/>
      </w:rPr>
    </w:lvl>
    <w:lvl w:ilvl="2" w:tplc="04210005" w:tentative="1">
      <w:start w:val="1"/>
      <w:numFmt w:val="bullet"/>
      <w:lvlText w:val=""/>
      <w:lvlJc w:val="left"/>
      <w:pPr>
        <w:ind w:left="2903" w:hanging="360"/>
      </w:pPr>
      <w:rPr>
        <w:rFonts w:ascii="Wingdings" w:hAnsi="Wingdings" w:hint="default"/>
      </w:rPr>
    </w:lvl>
    <w:lvl w:ilvl="3" w:tplc="04210001" w:tentative="1">
      <w:start w:val="1"/>
      <w:numFmt w:val="bullet"/>
      <w:lvlText w:val=""/>
      <w:lvlJc w:val="left"/>
      <w:pPr>
        <w:ind w:left="3623" w:hanging="360"/>
      </w:pPr>
      <w:rPr>
        <w:rFonts w:ascii="Symbol" w:hAnsi="Symbol" w:hint="default"/>
      </w:rPr>
    </w:lvl>
    <w:lvl w:ilvl="4" w:tplc="04210003" w:tentative="1">
      <w:start w:val="1"/>
      <w:numFmt w:val="bullet"/>
      <w:lvlText w:val="o"/>
      <w:lvlJc w:val="left"/>
      <w:pPr>
        <w:ind w:left="4343" w:hanging="360"/>
      </w:pPr>
      <w:rPr>
        <w:rFonts w:ascii="Courier New" w:hAnsi="Courier New" w:hint="default"/>
      </w:rPr>
    </w:lvl>
    <w:lvl w:ilvl="5" w:tplc="04210005" w:tentative="1">
      <w:start w:val="1"/>
      <w:numFmt w:val="bullet"/>
      <w:lvlText w:val=""/>
      <w:lvlJc w:val="left"/>
      <w:pPr>
        <w:ind w:left="5063" w:hanging="360"/>
      </w:pPr>
      <w:rPr>
        <w:rFonts w:ascii="Wingdings" w:hAnsi="Wingdings" w:hint="default"/>
      </w:rPr>
    </w:lvl>
    <w:lvl w:ilvl="6" w:tplc="04210001" w:tentative="1">
      <w:start w:val="1"/>
      <w:numFmt w:val="bullet"/>
      <w:lvlText w:val=""/>
      <w:lvlJc w:val="left"/>
      <w:pPr>
        <w:ind w:left="5783" w:hanging="360"/>
      </w:pPr>
      <w:rPr>
        <w:rFonts w:ascii="Symbol" w:hAnsi="Symbol" w:hint="default"/>
      </w:rPr>
    </w:lvl>
    <w:lvl w:ilvl="7" w:tplc="04210003" w:tentative="1">
      <w:start w:val="1"/>
      <w:numFmt w:val="bullet"/>
      <w:lvlText w:val="o"/>
      <w:lvlJc w:val="left"/>
      <w:pPr>
        <w:ind w:left="6503" w:hanging="360"/>
      </w:pPr>
      <w:rPr>
        <w:rFonts w:ascii="Courier New" w:hAnsi="Courier New" w:hint="default"/>
      </w:rPr>
    </w:lvl>
    <w:lvl w:ilvl="8" w:tplc="04210005" w:tentative="1">
      <w:start w:val="1"/>
      <w:numFmt w:val="bullet"/>
      <w:lvlText w:val=""/>
      <w:lvlJc w:val="left"/>
      <w:pPr>
        <w:ind w:left="7223" w:hanging="360"/>
      </w:pPr>
      <w:rPr>
        <w:rFonts w:ascii="Wingdings" w:hAnsi="Wingdings" w:hint="default"/>
      </w:rPr>
    </w:lvl>
  </w:abstractNum>
  <w:num w:numId="1" w16cid:durableId="379132994">
    <w:abstractNumId w:val="0"/>
  </w:num>
  <w:num w:numId="2" w16cid:durableId="916476849">
    <w:abstractNumId w:val="2"/>
  </w:num>
  <w:num w:numId="3" w16cid:durableId="1242721158">
    <w:abstractNumId w:val="4"/>
  </w:num>
  <w:num w:numId="4" w16cid:durableId="666515447">
    <w:abstractNumId w:val="1"/>
  </w:num>
  <w:num w:numId="5" w16cid:durableId="156457401">
    <w:abstractNumId w:val="3"/>
  </w:num>
  <w:num w:numId="6" w16cid:durableId="1184595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yMLUwNDO3MDE1sTRR0lEKTi0uzszPAykwrAUAYIjKwSwAAAA="/>
  </w:docVars>
  <w:rsids>
    <w:rsidRoot w:val="00865748"/>
    <w:rsid w:val="000009A2"/>
    <w:rsid w:val="00033B1D"/>
    <w:rsid w:val="00042621"/>
    <w:rsid w:val="0005724B"/>
    <w:rsid w:val="00063AC7"/>
    <w:rsid w:val="00084E6A"/>
    <w:rsid w:val="0009381C"/>
    <w:rsid w:val="000968F9"/>
    <w:rsid w:val="000976D3"/>
    <w:rsid w:val="000C277C"/>
    <w:rsid w:val="000C4AE3"/>
    <w:rsid w:val="000D40D7"/>
    <w:rsid w:val="000D5696"/>
    <w:rsid w:val="000E4278"/>
    <w:rsid w:val="000E74A7"/>
    <w:rsid w:val="00101316"/>
    <w:rsid w:val="00101728"/>
    <w:rsid w:val="001037CC"/>
    <w:rsid w:val="0011008C"/>
    <w:rsid w:val="00112377"/>
    <w:rsid w:val="00114A58"/>
    <w:rsid w:val="001163F0"/>
    <w:rsid w:val="001177D5"/>
    <w:rsid w:val="001358D5"/>
    <w:rsid w:val="00147EFC"/>
    <w:rsid w:val="00151CD2"/>
    <w:rsid w:val="00151F17"/>
    <w:rsid w:val="00153B8A"/>
    <w:rsid w:val="0016413A"/>
    <w:rsid w:val="00175307"/>
    <w:rsid w:val="00197956"/>
    <w:rsid w:val="001B0439"/>
    <w:rsid w:val="001B0F39"/>
    <w:rsid w:val="001B69AF"/>
    <w:rsid w:val="001B725E"/>
    <w:rsid w:val="001C0677"/>
    <w:rsid w:val="001C22F6"/>
    <w:rsid w:val="001D082E"/>
    <w:rsid w:val="001D1E0E"/>
    <w:rsid w:val="001D39E7"/>
    <w:rsid w:val="001E336C"/>
    <w:rsid w:val="001F3F81"/>
    <w:rsid w:val="001F5833"/>
    <w:rsid w:val="001F7FEB"/>
    <w:rsid w:val="0020050C"/>
    <w:rsid w:val="00206EEA"/>
    <w:rsid w:val="002201E3"/>
    <w:rsid w:val="002212AD"/>
    <w:rsid w:val="0023064B"/>
    <w:rsid w:val="00231ED4"/>
    <w:rsid w:val="0023563A"/>
    <w:rsid w:val="00251B8D"/>
    <w:rsid w:val="002628E4"/>
    <w:rsid w:val="002759C4"/>
    <w:rsid w:val="00287DF5"/>
    <w:rsid w:val="002A02D3"/>
    <w:rsid w:val="002A19C6"/>
    <w:rsid w:val="002A4F99"/>
    <w:rsid w:val="002D3494"/>
    <w:rsid w:val="002D3CEC"/>
    <w:rsid w:val="002E650B"/>
    <w:rsid w:val="002F5418"/>
    <w:rsid w:val="00305CCA"/>
    <w:rsid w:val="00321665"/>
    <w:rsid w:val="00337F6B"/>
    <w:rsid w:val="00351C29"/>
    <w:rsid w:val="0035787B"/>
    <w:rsid w:val="00372F6A"/>
    <w:rsid w:val="003806F5"/>
    <w:rsid w:val="0038591B"/>
    <w:rsid w:val="00396C1C"/>
    <w:rsid w:val="003A356F"/>
    <w:rsid w:val="003C03E7"/>
    <w:rsid w:val="003C07C7"/>
    <w:rsid w:val="003C6A90"/>
    <w:rsid w:val="003E3C5E"/>
    <w:rsid w:val="003E413F"/>
    <w:rsid w:val="00404858"/>
    <w:rsid w:val="00404FC1"/>
    <w:rsid w:val="00451BCB"/>
    <w:rsid w:val="00466674"/>
    <w:rsid w:val="00471301"/>
    <w:rsid w:val="00496705"/>
    <w:rsid w:val="00497263"/>
    <w:rsid w:val="004A2431"/>
    <w:rsid w:val="004A62DD"/>
    <w:rsid w:val="004B7E59"/>
    <w:rsid w:val="004C3A79"/>
    <w:rsid w:val="004C5EF8"/>
    <w:rsid w:val="004C6C48"/>
    <w:rsid w:val="004C7275"/>
    <w:rsid w:val="004D5AA0"/>
    <w:rsid w:val="004E289D"/>
    <w:rsid w:val="004E3895"/>
    <w:rsid w:val="004F04B3"/>
    <w:rsid w:val="005026AA"/>
    <w:rsid w:val="00502A19"/>
    <w:rsid w:val="00502D52"/>
    <w:rsid w:val="0050454B"/>
    <w:rsid w:val="005047C2"/>
    <w:rsid w:val="00504A45"/>
    <w:rsid w:val="00510350"/>
    <w:rsid w:val="005123E9"/>
    <w:rsid w:val="0053386D"/>
    <w:rsid w:val="0053752B"/>
    <w:rsid w:val="0054363A"/>
    <w:rsid w:val="005443DF"/>
    <w:rsid w:val="00545BD1"/>
    <w:rsid w:val="0056556D"/>
    <w:rsid w:val="005658FE"/>
    <w:rsid w:val="00570A45"/>
    <w:rsid w:val="00572390"/>
    <w:rsid w:val="00572ADF"/>
    <w:rsid w:val="00582771"/>
    <w:rsid w:val="00584CE6"/>
    <w:rsid w:val="005859F3"/>
    <w:rsid w:val="005A2123"/>
    <w:rsid w:val="005A359C"/>
    <w:rsid w:val="005A40BB"/>
    <w:rsid w:val="005B4AC3"/>
    <w:rsid w:val="005B6037"/>
    <w:rsid w:val="005C27BD"/>
    <w:rsid w:val="005E4143"/>
    <w:rsid w:val="006076D4"/>
    <w:rsid w:val="00610CF5"/>
    <w:rsid w:val="0061323E"/>
    <w:rsid w:val="00617162"/>
    <w:rsid w:val="00633B54"/>
    <w:rsid w:val="00637799"/>
    <w:rsid w:val="00642DBA"/>
    <w:rsid w:val="00644976"/>
    <w:rsid w:val="00644A70"/>
    <w:rsid w:val="00644D9D"/>
    <w:rsid w:val="006507CE"/>
    <w:rsid w:val="0065244A"/>
    <w:rsid w:val="00664784"/>
    <w:rsid w:val="0067220C"/>
    <w:rsid w:val="00675F0E"/>
    <w:rsid w:val="00677DA9"/>
    <w:rsid w:val="006910F8"/>
    <w:rsid w:val="006A27EE"/>
    <w:rsid w:val="006A5111"/>
    <w:rsid w:val="006A634D"/>
    <w:rsid w:val="006B43FB"/>
    <w:rsid w:val="006B4E98"/>
    <w:rsid w:val="006B6A28"/>
    <w:rsid w:val="006C1A5F"/>
    <w:rsid w:val="006C2DB4"/>
    <w:rsid w:val="006D4E25"/>
    <w:rsid w:val="006E2E8B"/>
    <w:rsid w:val="006F7696"/>
    <w:rsid w:val="00713914"/>
    <w:rsid w:val="007150F0"/>
    <w:rsid w:val="00715751"/>
    <w:rsid w:val="007207B3"/>
    <w:rsid w:val="007261C5"/>
    <w:rsid w:val="00726814"/>
    <w:rsid w:val="00743730"/>
    <w:rsid w:val="00744C71"/>
    <w:rsid w:val="00753136"/>
    <w:rsid w:val="007717DB"/>
    <w:rsid w:val="00776393"/>
    <w:rsid w:val="007831AC"/>
    <w:rsid w:val="0078485C"/>
    <w:rsid w:val="007931B5"/>
    <w:rsid w:val="007A6608"/>
    <w:rsid w:val="007B462C"/>
    <w:rsid w:val="007B5323"/>
    <w:rsid w:val="007B7B40"/>
    <w:rsid w:val="007C5570"/>
    <w:rsid w:val="007C602F"/>
    <w:rsid w:val="007C6952"/>
    <w:rsid w:val="007D7E1D"/>
    <w:rsid w:val="008065F7"/>
    <w:rsid w:val="008077B5"/>
    <w:rsid w:val="00807BBE"/>
    <w:rsid w:val="00815599"/>
    <w:rsid w:val="00820DD7"/>
    <w:rsid w:val="00821725"/>
    <w:rsid w:val="008250D7"/>
    <w:rsid w:val="00832CF4"/>
    <w:rsid w:val="008429B2"/>
    <w:rsid w:val="00842D3E"/>
    <w:rsid w:val="00851EDF"/>
    <w:rsid w:val="008639FC"/>
    <w:rsid w:val="00865748"/>
    <w:rsid w:val="008939B9"/>
    <w:rsid w:val="00895CDE"/>
    <w:rsid w:val="008A5C36"/>
    <w:rsid w:val="008B1526"/>
    <w:rsid w:val="008B2A5E"/>
    <w:rsid w:val="008B6FC1"/>
    <w:rsid w:val="008C1D60"/>
    <w:rsid w:val="008D1D38"/>
    <w:rsid w:val="008D4A18"/>
    <w:rsid w:val="008D7821"/>
    <w:rsid w:val="008E0328"/>
    <w:rsid w:val="008E6AA5"/>
    <w:rsid w:val="00910DF7"/>
    <w:rsid w:val="009164C6"/>
    <w:rsid w:val="009405B9"/>
    <w:rsid w:val="009446F4"/>
    <w:rsid w:val="00946E62"/>
    <w:rsid w:val="00952379"/>
    <w:rsid w:val="00975036"/>
    <w:rsid w:val="00986687"/>
    <w:rsid w:val="00993663"/>
    <w:rsid w:val="009969F1"/>
    <w:rsid w:val="00997CAF"/>
    <w:rsid w:val="009B1EA8"/>
    <w:rsid w:val="009C2CFF"/>
    <w:rsid w:val="009E276A"/>
    <w:rsid w:val="009E53A2"/>
    <w:rsid w:val="009F4FCA"/>
    <w:rsid w:val="00A25503"/>
    <w:rsid w:val="00A33713"/>
    <w:rsid w:val="00A42204"/>
    <w:rsid w:val="00A453F0"/>
    <w:rsid w:val="00A60827"/>
    <w:rsid w:val="00A60DCC"/>
    <w:rsid w:val="00A65826"/>
    <w:rsid w:val="00A77F17"/>
    <w:rsid w:val="00A84414"/>
    <w:rsid w:val="00AB1671"/>
    <w:rsid w:val="00AB1792"/>
    <w:rsid w:val="00AD1DFA"/>
    <w:rsid w:val="00AD5DD8"/>
    <w:rsid w:val="00AD7E2E"/>
    <w:rsid w:val="00AE5EA6"/>
    <w:rsid w:val="00AF73D2"/>
    <w:rsid w:val="00B10E24"/>
    <w:rsid w:val="00B13D13"/>
    <w:rsid w:val="00B452B4"/>
    <w:rsid w:val="00B531E1"/>
    <w:rsid w:val="00B704DC"/>
    <w:rsid w:val="00B723CD"/>
    <w:rsid w:val="00B7756C"/>
    <w:rsid w:val="00B92490"/>
    <w:rsid w:val="00B93CE0"/>
    <w:rsid w:val="00BA5672"/>
    <w:rsid w:val="00BB19AC"/>
    <w:rsid w:val="00BC03A4"/>
    <w:rsid w:val="00BC210A"/>
    <w:rsid w:val="00BC7369"/>
    <w:rsid w:val="00BD5F06"/>
    <w:rsid w:val="00BE0AF5"/>
    <w:rsid w:val="00BE0E2F"/>
    <w:rsid w:val="00BE170B"/>
    <w:rsid w:val="00BE4B81"/>
    <w:rsid w:val="00BE7C28"/>
    <w:rsid w:val="00BF211B"/>
    <w:rsid w:val="00BF328B"/>
    <w:rsid w:val="00BF5DE4"/>
    <w:rsid w:val="00C13F5D"/>
    <w:rsid w:val="00C17C1B"/>
    <w:rsid w:val="00C213DE"/>
    <w:rsid w:val="00C232F4"/>
    <w:rsid w:val="00C2330B"/>
    <w:rsid w:val="00C2663C"/>
    <w:rsid w:val="00C33A92"/>
    <w:rsid w:val="00C33F06"/>
    <w:rsid w:val="00C5709A"/>
    <w:rsid w:val="00C743B2"/>
    <w:rsid w:val="00C74AC3"/>
    <w:rsid w:val="00C81601"/>
    <w:rsid w:val="00C85BF1"/>
    <w:rsid w:val="00C861A6"/>
    <w:rsid w:val="00CA5171"/>
    <w:rsid w:val="00CB17C7"/>
    <w:rsid w:val="00CD41A8"/>
    <w:rsid w:val="00CF7BD4"/>
    <w:rsid w:val="00CF7C97"/>
    <w:rsid w:val="00D05666"/>
    <w:rsid w:val="00D066D5"/>
    <w:rsid w:val="00D13A67"/>
    <w:rsid w:val="00D13BE5"/>
    <w:rsid w:val="00D256ED"/>
    <w:rsid w:val="00D473A2"/>
    <w:rsid w:val="00D616C9"/>
    <w:rsid w:val="00D62C5C"/>
    <w:rsid w:val="00D7626C"/>
    <w:rsid w:val="00D84818"/>
    <w:rsid w:val="00D855EF"/>
    <w:rsid w:val="00DA3DE7"/>
    <w:rsid w:val="00DB0A56"/>
    <w:rsid w:val="00DB2093"/>
    <w:rsid w:val="00DB77CD"/>
    <w:rsid w:val="00DD12CD"/>
    <w:rsid w:val="00DD663E"/>
    <w:rsid w:val="00DE4944"/>
    <w:rsid w:val="00DF2B99"/>
    <w:rsid w:val="00DF4332"/>
    <w:rsid w:val="00E0205D"/>
    <w:rsid w:val="00E037D1"/>
    <w:rsid w:val="00E042DA"/>
    <w:rsid w:val="00E336E8"/>
    <w:rsid w:val="00E4199B"/>
    <w:rsid w:val="00E53BE3"/>
    <w:rsid w:val="00E652AF"/>
    <w:rsid w:val="00E7245E"/>
    <w:rsid w:val="00E73C0A"/>
    <w:rsid w:val="00E76B0A"/>
    <w:rsid w:val="00E918EE"/>
    <w:rsid w:val="00EA0CC8"/>
    <w:rsid w:val="00EB0815"/>
    <w:rsid w:val="00EB328C"/>
    <w:rsid w:val="00EB3596"/>
    <w:rsid w:val="00EC1C42"/>
    <w:rsid w:val="00EC4883"/>
    <w:rsid w:val="00ED0EAD"/>
    <w:rsid w:val="00ED1506"/>
    <w:rsid w:val="00EE0D32"/>
    <w:rsid w:val="00EE133C"/>
    <w:rsid w:val="00EE14CB"/>
    <w:rsid w:val="00EF387D"/>
    <w:rsid w:val="00F00C01"/>
    <w:rsid w:val="00F267D3"/>
    <w:rsid w:val="00F272A4"/>
    <w:rsid w:val="00F364C1"/>
    <w:rsid w:val="00F460A9"/>
    <w:rsid w:val="00F46CB1"/>
    <w:rsid w:val="00F578B6"/>
    <w:rsid w:val="00F723C8"/>
    <w:rsid w:val="00F81405"/>
    <w:rsid w:val="00F8198F"/>
    <w:rsid w:val="00F84AE0"/>
    <w:rsid w:val="00F86361"/>
    <w:rsid w:val="00F9218A"/>
    <w:rsid w:val="00F941BA"/>
    <w:rsid w:val="00FA0774"/>
    <w:rsid w:val="00FA3380"/>
    <w:rsid w:val="00FA4ED3"/>
    <w:rsid w:val="00FB77AA"/>
    <w:rsid w:val="00FC6671"/>
    <w:rsid w:val="00FD7D6A"/>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8ADCB3"/>
  <w14:defaultImageDpi w14:val="96"/>
  <w15:chartTrackingRefBased/>
  <w15:docId w15:val="{B27A6718-F003-4BE9-9E75-7F1D41C7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358D5"/>
    <w:rPr>
      <w:rFonts w:asciiTheme="minorHAnsi" w:hAnsiTheme="minorHAnsi" w:cs="Times New Roman"/>
      <w:color w:val="0000FF"/>
      <w:spacing w:val="-10"/>
      <w:sz w:val="22"/>
      <w:u w:val="non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Pr>
      <w:rFonts w:cs="Times New Roman"/>
      <w:sz w:val="24"/>
      <w:szCs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uiPriority w:val="99"/>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ythagorasNormal">
    <w:name w:val="Pythagoras_Normal"/>
    <w:basedOn w:val="Normal"/>
    <w:qFormat/>
    <w:rsid w:val="00C2663C"/>
    <w:pPr>
      <w:contextualSpacing/>
      <w:jc w:val="both"/>
    </w:pPr>
    <w:rPr>
      <w:rFonts w:asciiTheme="minorHAnsi" w:hAnsiTheme="minorHAnsi"/>
      <w:sz w:val="22"/>
    </w:rPr>
  </w:style>
  <w:style w:type="paragraph" w:customStyle="1" w:styleId="Pythagoras3AfiliasiAuthor">
    <w:name w:val="Pythagoras_3Afiliasi Author"/>
    <w:basedOn w:val="Normal"/>
    <w:qFormat/>
    <w:rsid w:val="000C277C"/>
    <w:pPr>
      <w:contextualSpacing/>
    </w:pPr>
    <w:rPr>
      <w:rFonts w:asciiTheme="minorHAnsi" w:hAnsiTheme="minorHAnsi"/>
      <w:color w:val="000000" w:themeColor="text1"/>
      <w:spacing w:val="-6"/>
      <w:sz w:val="20"/>
    </w:rPr>
  </w:style>
  <w:style w:type="paragraph" w:customStyle="1" w:styleId="Pythagoras2Author">
    <w:name w:val="Pythagoras_2Author"/>
    <w:basedOn w:val="Normal"/>
    <w:qFormat/>
    <w:rsid w:val="00C2663C"/>
    <w:pPr>
      <w:contextualSpacing/>
    </w:pPr>
    <w:rPr>
      <w:rFonts w:asciiTheme="minorHAnsi" w:hAnsiTheme="minorHAnsi"/>
      <w:b/>
      <w:color w:val="000000" w:themeColor="text1"/>
      <w:spacing w:val="-6"/>
      <w:sz w:val="22"/>
      <w:szCs w:val="22"/>
      <w:lang w:val="id-ID"/>
    </w:rPr>
  </w:style>
  <w:style w:type="paragraph" w:customStyle="1" w:styleId="Pythagoras1Title">
    <w:name w:val="Pythagoras_1Title"/>
    <w:basedOn w:val="Normal"/>
    <w:qFormat/>
    <w:rsid w:val="00C2663C"/>
    <w:pPr>
      <w:contextualSpacing/>
      <w:jc w:val="both"/>
    </w:pPr>
    <w:rPr>
      <w:rFonts w:asciiTheme="minorHAnsi" w:hAnsiTheme="minorHAnsi"/>
      <w:b/>
      <w:color w:val="000000" w:themeColor="text1"/>
      <w:spacing w:val="-6"/>
      <w:sz w:val="26"/>
      <w:szCs w:val="22"/>
      <w:lang w:val="id-ID"/>
    </w:rPr>
  </w:style>
  <w:style w:type="paragraph" w:customStyle="1" w:styleId="Pythagoras6AbstractBodyEnglish">
    <w:name w:val="Pythagoras_6AbstractBodyEnglish"/>
    <w:basedOn w:val="Pythagoras1Title"/>
    <w:rsid w:val="001B0439"/>
    <w:pPr>
      <w:spacing w:before="60"/>
      <w:ind w:right="-85"/>
      <w:contextualSpacing w:val="0"/>
    </w:pPr>
    <w:rPr>
      <w:b w:val="0"/>
      <w:i/>
      <w:spacing w:val="-10"/>
      <w:sz w:val="20"/>
      <w:lang w:val="en-US"/>
    </w:rPr>
  </w:style>
  <w:style w:type="paragraph" w:customStyle="1" w:styleId="Pythagoras5AbstractBodyIndo">
    <w:name w:val="Pythagoras_5AbstractBodyIndo"/>
    <w:basedOn w:val="Normal"/>
    <w:rsid w:val="001B0439"/>
    <w:pPr>
      <w:spacing w:after="60"/>
      <w:ind w:right="-85"/>
      <w:jc w:val="both"/>
    </w:pPr>
    <w:rPr>
      <w:rFonts w:asciiTheme="minorHAnsi" w:hAnsiTheme="minorHAnsi"/>
      <w:color w:val="000000" w:themeColor="text1"/>
      <w:spacing w:val="-10"/>
      <w:sz w:val="20"/>
      <w:szCs w:val="22"/>
      <w:lang w:val="id-ID"/>
    </w:rPr>
  </w:style>
  <w:style w:type="paragraph" w:customStyle="1" w:styleId="Pythagoras4Korespondensi">
    <w:name w:val="Pythagoras_4Korespondensi"/>
    <w:basedOn w:val="Normal"/>
    <w:qFormat/>
    <w:rsid w:val="00C74AC3"/>
    <w:pPr>
      <w:spacing w:after="120"/>
    </w:pPr>
    <w:rPr>
      <w:rFonts w:asciiTheme="minorHAnsi" w:hAnsiTheme="minorHAnsi"/>
      <w:color w:val="000000" w:themeColor="text1"/>
      <w:spacing w:val="-6"/>
      <w:sz w:val="20"/>
    </w:rPr>
  </w:style>
  <w:style w:type="paragraph" w:customStyle="1" w:styleId="Pythagoras7ArticleHistory">
    <w:name w:val="Pythagoras_7ArticleHistory"/>
    <w:basedOn w:val="Normal"/>
    <w:qFormat/>
    <w:rsid w:val="001B0439"/>
    <w:pPr>
      <w:ind w:left="-85"/>
      <w:contextualSpacing/>
    </w:pPr>
    <w:rPr>
      <w:rFonts w:asciiTheme="minorHAnsi" w:hAnsiTheme="minorHAnsi"/>
      <w:b/>
      <w:i/>
      <w:color w:val="000000" w:themeColor="text1"/>
      <w:sz w:val="20"/>
    </w:rPr>
  </w:style>
  <w:style w:type="paragraph" w:customStyle="1" w:styleId="Pythagoras8ArticleHistoryBody">
    <w:name w:val="Pythagoras_8ArticleHistoryBody"/>
    <w:basedOn w:val="Pythagoras7ArticleHistory"/>
    <w:qFormat/>
    <w:rsid w:val="001B0439"/>
    <w:rPr>
      <w:b w:val="0"/>
      <w:i w:val="0"/>
      <w:sz w:val="18"/>
    </w:rPr>
  </w:style>
  <w:style w:type="paragraph" w:customStyle="1" w:styleId="Pythagoras90Keywords">
    <w:name w:val="Pythagoras_90Keywords"/>
    <w:basedOn w:val="Normal"/>
    <w:qFormat/>
    <w:rsid w:val="001B0439"/>
    <w:pPr>
      <w:ind w:left="-85"/>
    </w:pPr>
    <w:rPr>
      <w:rFonts w:asciiTheme="minorHAnsi" w:hAnsiTheme="minorHAnsi"/>
      <w:b/>
      <w:i/>
      <w:color w:val="000000" w:themeColor="text1"/>
      <w:sz w:val="20"/>
    </w:rPr>
  </w:style>
  <w:style w:type="paragraph" w:customStyle="1" w:styleId="PythagorasTableCaption">
    <w:name w:val="Pythagoras_TableCaption"/>
    <w:basedOn w:val="Normal"/>
    <w:autoRedefine/>
    <w:qFormat/>
    <w:rsid w:val="007B462C"/>
    <w:pPr>
      <w:spacing w:before="120" w:after="120"/>
      <w:jc w:val="center"/>
    </w:pPr>
    <w:rPr>
      <w:rFonts w:asciiTheme="minorHAnsi" w:hAnsiTheme="minorHAnsi"/>
      <w:spacing w:val="-10"/>
      <w:sz w:val="22"/>
      <w:lang w:val="id-ID"/>
    </w:rPr>
  </w:style>
  <w:style w:type="paragraph" w:customStyle="1" w:styleId="PythagorasTableHeader">
    <w:name w:val="Pythagoras_TableHeader"/>
    <w:basedOn w:val="Normal"/>
    <w:qFormat/>
    <w:rsid w:val="007261C5"/>
    <w:pPr>
      <w:spacing w:line="240" w:lineRule="atLeast"/>
      <w:jc w:val="center"/>
    </w:pPr>
    <w:rPr>
      <w:rFonts w:asciiTheme="minorHAnsi" w:hAnsiTheme="minorHAnsi"/>
      <w:spacing w:val="-10"/>
      <w:sz w:val="22"/>
      <w:lang w:val="id-ID"/>
    </w:rPr>
  </w:style>
  <w:style w:type="paragraph" w:customStyle="1" w:styleId="PythagorasPictureCapture">
    <w:name w:val="Pythagoras_Picture Capture"/>
    <w:basedOn w:val="Normal"/>
    <w:autoRedefine/>
    <w:qFormat/>
    <w:rsid w:val="007261C5"/>
    <w:pPr>
      <w:spacing w:before="120" w:line="240" w:lineRule="atLeast"/>
      <w:jc w:val="center"/>
    </w:pPr>
    <w:rPr>
      <w:rFonts w:asciiTheme="minorHAnsi" w:hAnsiTheme="minorHAnsi"/>
      <w:color w:val="000000"/>
      <w:spacing w:val="-10"/>
      <w:sz w:val="22"/>
      <w:lang w:val="id-ID"/>
    </w:rPr>
  </w:style>
  <w:style w:type="paragraph" w:customStyle="1" w:styleId="Pythagoras91KeywordBody">
    <w:name w:val="Pythagoras_91KeywordBody"/>
    <w:basedOn w:val="Normal"/>
    <w:qFormat/>
    <w:rsid w:val="001B0439"/>
    <w:pPr>
      <w:ind w:left="28" w:hanging="113"/>
    </w:pPr>
    <w:rPr>
      <w:rFonts w:asciiTheme="minorHAnsi" w:hAnsiTheme="minorHAnsi"/>
      <w:spacing w:val="-10"/>
      <w:sz w:val="20"/>
    </w:rPr>
  </w:style>
  <w:style w:type="paragraph" w:customStyle="1" w:styleId="Pythagoras921HowToCite">
    <w:name w:val="Pythagoras_921HowToCite"/>
    <w:basedOn w:val="Normal"/>
    <w:qFormat/>
    <w:rsid w:val="00997CAF"/>
    <w:pPr>
      <w:contextualSpacing/>
      <w:jc w:val="both"/>
    </w:pPr>
    <w:rPr>
      <w:rFonts w:asciiTheme="minorHAnsi" w:hAnsiTheme="minorHAnsi"/>
      <w:color w:val="000000" w:themeColor="text1"/>
      <w:spacing w:val="-10"/>
      <w:sz w:val="20"/>
    </w:rPr>
  </w:style>
  <w:style w:type="paragraph" w:customStyle="1" w:styleId="PythagorasHeading1">
    <w:name w:val="Pythagoras_Heading1"/>
    <w:basedOn w:val="Normal"/>
    <w:qFormat/>
    <w:rsid w:val="00C74AC3"/>
    <w:pPr>
      <w:spacing w:before="120" w:after="120"/>
      <w:jc w:val="center"/>
    </w:pPr>
    <w:rPr>
      <w:rFonts w:ascii="Calibri" w:hAnsi="Calibri"/>
      <w:b/>
      <w:color w:val="800000"/>
      <w:spacing w:val="-6"/>
      <w:sz w:val="22"/>
    </w:rPr>
  </w:style>
  <w:style w:type="paragraph" w:customStyle="1" w:styleId="PythagorasHeading3">
    <w:name w:val="Pythagoras_Heading 3"/>
    <w:basedOn w:val="Normal"/>
    <w:qFormat/>
    <w:rsid w:val="00C2663C"/>
    <w:pPr>
      <w:spacing w:before="120" w:after="120"/>
    </w:pPr>
    <w:rPr>
      <w:sz w:val="22"/>
      <w:szCs w:val="22"/>
    </w:rPr>
  </w:style>
  <w:style w:type="paragraph" w:customStyle="1" w:styleId="PythagorasPicture">
    <w:name w:val="Pythagoras_Picture"/>
    <w:basedOn w:val="PythagorasTableHeader"/>
    <w:qFormat/>
    <w:rsid w:val="007261C5"/>
    <w:pPr>
      <w:spacing w:before="120"/>
    </w:pPr>
    <w:rPr>
      <w:szCs w:val="22"/>
    </w:rPr>
  </w:style>
  <w:style w:type="paragraph" w:customStyle="1" w:styleId="Pythagoras931Paragraf">
    <w:name w:val="Pythagoras_931Paragraf"/>
    <w:basedOn w:val="PythagorasNormal"/>
    <w:qFormat/>
    <w:rsid w:val="00F9218A"/>
    <w:pPr>
      <w:ind w:firstLine="425"/>
    </w:pPr>
    <w:rPr>
      <w:spacing w:val="-10"/>
      <w:lang w:val="id-ID"/>
    </w:rPr>
  </w:style>
  <w:style w:type="character" w:customStyle="1" w:styleId="apple-converted-space">
    <w:name w:val="apple-converted-space"/>
    <w:rsid w:val="008E0328"/>
  </w:style>
  <w:style w:type="character" w:styleId="Emphasis">
    <w:name w:val="Emphasis"/>
    <w:uiPriority w:val="20"/>
    <w:qFormat/>
    <w:rsid w:val="008E0328"/>
    <w:rPr>
      <w:i/>
    </w:rPr>
  </w:style>
  <w:style w:type="paragraph" w:styleId="BalloonText">
    <w:name w:val="Balloon Text"/>
    <w:basedOn w:val="Normal"/>
    <w:link w:val="BalloonTextChar"/>
    <w:rsid w:val="008077B5"/>
    <w:rPr>
      <w:rFonts w:ascii="Tahoma" w:hAnsi="Tahoma" w:cs="Tahoma"/>
      <w:sz w:val="16"/>
      <w:szCs w:val="16"/>
    </w:rPr>
  </w:style>
  <w:style w:type="character" w:customStyle="1" w:styleId="BalloonTextChar">
    <w:name w:val="Balloon Text Char"/>
    <w:link w:val="BalloonText"/>
    <w:rsid w:val="008077B5"/>
    <w:rPr>
      <w:rFonts w:ascii="Tahoma" w:hAnsi="Tahoma" w:cs="Tahoma"/>
      <w:sz w:val="16"/>
      <w:szCs w:val="16"/>
      <w:lang w:val="en-US" w:eastAsia="en-US"/>
    </w:rPr>
  </w:style>
  <w:style w:type="paragraph" w:customStyle="1" w:styleId="Pythagoras932ParagrafAfterTablePicture">
    <w:name w:val="Pythagoras_932ParagrafAfterTablePicture"/>
    <w:basedOn w:val="Normal"/>
    <w:qFormat/>
    <w:rsid w:val="007261C5"/>
    <w:pPr>
      <w:spacing w:before="120"/>
      <w:jc w:val="both"/>
    </w:pPr>
    <w:rPr>
      <w:rFonts w:asciiTheme="minorHAnsi" w:hAnsiTheme="minorHAnsi"/>
      <w:spacing w:val="-10"/>
      <w:sz w:val="22"/>
    </w:rPr>
  </w:style>
  <w:style w:type="paragraph" w:customStyle="1" w:styleId="Pythagoras941Reference">
    <w:name w:val="Pythagoras_941Reference"/>
    <w:basedOn w:val="Normal"/>
    <w:qFormat/>
    <w:rsid w:val="00997CAF"/>
    <w:pPr>
      <w:spacing w:after="120"/>
      <w:ind w:left="425" w:hanging="425"/>
      <w:jc w:val="both"/>
    </w:pPr>
    <w:rPr>
      <w:rFonts w:asciiTheme="minorHAnsi" w:hAnsiTheme="minorHAnsi"/>
      <w:spacing w:val="-10"/>
      <w:sz w:val="22"/>
    </w:rPr>
  </w:style>
  <w:style w:type="paragraph" w:customStyle="1" w:styleId="PythagorasCClogo">
    <w:name w:val="Pythagoras_CC logo"/>
    <w:basedOn w:val="PythagorasNormal"/>
    <w:rsid w:val="001B0439"/>
    <w:pPr>
      <w:spacing w:before="40" w:after="40"/>
      <w:ind w:left="-57" w:right="-85"/>
      <w:contextualSpacing w:val="0"/>
      <w:jc w:val="right"/>
    </w:pPr>
    <w:rPr>
      <w:spacing w:val="-10"/>
      <w:sz w:val="20"/>
    </w:rPr>
  </w:style>
  <w:style w:type="paragraph" w:customStyle="1" w:styleId="StylePythagoras921HowToCiteTitle">
    <w:name w:val="Style Pythagoras_921HowToCiteTitle"/>
    <w:basedOn w:val="Pythagoras921HowToCite"/>
    <w:rsid w:val="00F9218A"/>
    <w:rPr>
      <w:b/>
      <w:bCs/>
    </w:rPr>
  </w:style>
  <w:style w:type="paragraph" w:customStyle="1" w:styleId="PythagorasHeading2">
    <w:name w:val="Pythagoras_Heading2"/>
    <w:basedOn w:val="PythagorasHeading1"/>
    <w:qFormat/>
    <w:rsid w:val="001358D5"/>
    <w:pPr>
      <w:jc w:val="left"/>
    </w:pPr>
    <w:rPr>
      <w:lang w:val="id-ID"/>
    </w:rPr>
  </w:style>
  <w:style w:type="character" w:customStyle="1" w:styleId="UnresolvedMention1">
    <w:name w:val="Unresolved Mention1"/>
    <w:basedOn w:val="DefaultParagraphFont"/>
    <w:uiPriority w:val="99"/>
    <w:semiHidden/>
    <w:unhideWhenUsed/>
    <w:rsid w:val="001E336C"/>
    <w:rPr>
      <w:color w:val="605E5C"/>
      <w:shd w:val="clear" w:color="auto" w:fill="E1DFDD"/>
    </w:rPr>
  </w:style>
  <w:style w:type="paragraph" w:styleId="ListParagraph">
    <w:name w:val="List Paragraph"/>
    <w:basedOn w:val="Normal"/>
    <w:uiPriority w:val="34"/>
    <w:qFormat/>
    <w:rsid w:val="00DA3DE7"/>
    <w:pPr>
      <w:spacing w:after="160" w:line="259" w:lineRule="auto"/>
      <w:ind w:left="720"/>
      <w:contextualSpacing/>
    </w:pPr>
    <w:rPr>
      <w:rFonts w:asciiTheme="minorHAnsi" w:eastAsiaTheme="minorHAnsi" w:hAnsiTheme="minorHAnsi" w:cstheme="minorBidi"/>
      <w:sz w:val="22"/>
      <w:szCs w:val="22"/>
      <w:lang w:val="en-ID"/>
    </w:rPr>
  </w:style>
  <w:style w:type="character" w:styleId="CommentReference">
    <w:name w:val="annotation reference"/>
    <w:basedOn w:val="DefaultParagraphFont"/>
    <w:rsid w:val="00466674"/>
    <w:rPr>
      <w:sz w:val="16"/>
      <w:szCs w:val="16"/>
    </w:rPr>
  </w:style>
  <w:style w:type="paragraph" w:styleId="CommentText">
    <w:name w:val="annotation text"/>
    <w:basedOn w:val="Normal"/>
    <w:link w:val="CommentTextChar"/>
    <w:rsid w:val="00466674"/>
    <w:rPr>
      <w:sz w:val="20"/>
      <w:szCs w:val="20"/>
    </w:rPr>
  </w:style>
  <w:style w:type="character" w:customStyle="1" w:styleId="CommentTextChar">
    <w:name w:val="Comment Text Char"/>
    <w:basedOn w:val="DefaultParagraphFont"/>
    <w:link w:val="CommentText"/>
    <w:rsid w:val="00466674"/>
  </w:style>
  <w:style w:type="paragraph" w:styleId="CommentSubject">
    <w:name w:val="annotation subject"/>
    <w:basedOn w:val="CommentText"/>
    <w:next w:val="CommentText"/>
    <w:link w:val="CommentSubjectChar"/>
    <w:semiHidden/>
    <w:unhideWhenUsed/>
    <w:rsid w:val="00466674"/>
    <w:rPr>
      <w:b/>
      <w:bCs/>
    </w:rPr>
  </w:style>
  <w:style w:type="character" w:customStyle="1" w:styleId="CommentSubjectChar">
    <w:name w:val="Comment Subject Char"/>
    <w:basedOn w:val="CommentTextChar"/>
    <w:link w:val="CommentSubject"/>
    <w:semiHidden/>
    <w:rsid w:val="00466674"/>
    <w:rPr>
      <w:b/>
      <w:bCs/>
    </w:rPr>
  </w:style>
  <w:style w:type="character" w:styleId="UnresolvedMention">
    <w:name w:val="Unresolved Mention"/>
    <w:basedOn w:val="DefaultParagraphFont"/>
    <w:uiPriority w:val="99"/>
    <w:semiHidden/>
    <w:unhideWhenUsed/>
    <w:rsid w:val="00F86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146963">
      <w:bodyDiv w:val="1"/>
      <w:marLeft w:val="0"/>
      <w:marRight w:val="0"/>
      <w:marTop w:val="0"/>
      <w:marBottom w:val="0"/>
      <w:divBdr>
        <w:top w:val="none" w:sz="0" w:space="0" w:color="auto"/>
        <w:left w:val="none" w:sz="0" w:space="0" w:color="auto"/>
        <w:bottom w:val="none" w:sz="0" w:space="0" w:color="auto"/>
        <w:right w:val="none" w:sz="0" w:space="0" w:color="auto"/>
      </w:divBdr>
    </w:div>
    <w:div w:id="955211981">
      <w:bodyDiv w:val="1"/>
      <w:marLeft w:val="0"/>
      <w:marRight w:val="0"/>
      <w:marTop w:val="0"/>
      <w:marBottom w:val="0"/>
      <w:divBdr>
        <w:top w:val="none" w:sz="0" w:space="0" w:color="auto"/>
        <w:left w:val="none" w:sz="0" w:space="0" w:color="auto"/>
        <w:bottom w:val="none" w:sz="0" w:space="0" w:color="auto"/>
        <w:right w:val="none" w:sz="0" w:space="0" w:color="auto"/>
      </w:divBdr>
    </w:div>
    <w:div w:id="1565792522">
      <w:bodyDiv w:val="1"/>
      <w:marLeft w:val="0"/>
      <w:marRight w:val="0"/>
      <w:marTop w:val="0"/>
      <w:marBottom w:val="0"/>
      <w:divBdr>
        <w:top w:val="none" w:sz="0" w:space="0" w:color="auto"/>
        <w:left w:val="none" w:sz="0" w:space="0" w:color="auto"/>
        <w:bottom w:val="none" w:sz="0" w:space="0" w:color="auto"/>
        <w:right w:val="none" w:sz="0" w:space="0" w:color="auto"/>
      </w:divBdr>
    </w:div>
    <w:div w:id="188829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1591/edulearn.v13i1.8427" TargetMode="External"/><Relationship Id="rId26" Type="http://schemas.openxmlformats.org/officeDocument/2006/relationships/hyperlink" Target="https://doi.org/10.15294/dp.v12i2.13561" TargetMode="External"/><Relationship Id="rId39" Type="http://schemas.openxmlformats.org/officeDocument/2006/relationships/hyperlink" Target="https://doi.org/10.1088/1742-6596/1179/1/012126" TargetMode="External"/><Relationship Id="rId21" Type="http://schemas.openxmlformats.org/officeDocument/2006/relationships/hyperlink" Target="https://doi.org/10.1088/1742-6596/1503/1/012040" TargetMode="External"/><Relationship Id="rId34" Type="http://schemas.openxmlformats.org/officeDocument/2006/relationships/hyperlink" Target="https://doi.org/10.1088/1742-6596/1321/2/022092" TargetMode="External"/><Relationship Id="rId42" Type="http://schemas.openxmlformats.org/officeDocument/2006/relationships/hyperlink" Target="https://doi.org/10.1088/1742-6596/1823/1/012093" TargetMode="External"/><Relationship Id="rId47" Type="http://schemas.openxmlformats.org/officeDocument/2006/relationships/hyperlink" Target="https://doi.org/10.1088/1742-6596/1013/1/012212"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reativecommons.org/licenses/by-sa/4.0/" TargetMode="External"/><Relationship Id="rId17" Type="http://schemas.openxmlformats.org/officeDocument/2006/relationships/image" Target="media/image5.png"/><Relationship Id="rId25" Type="http://schemas.openxmlformats.org/officeDocument/2006/relationships/hyperlink" Target="https://doi.org/10.1016/j.sbspro.2011.11.430" TargetMode="External"/><Relationship Id="rId33" Type="http://schemas.openxmlformats.org/officeDocument/2006/relationships/hyperlink" Target="https://doi.org/10.1080/00223891.1990.9674037" TargetMode="External"/><Relationship Id="rId38" Type="http://schemas.openxmlformats.org/officeDocument/2006/relationships/hyperlink" Target="http://dx.doi.org/10.1111/j.1754-9434.2010.01213.x" TargetMode="External"/><Relationship Id="rId46" Type="http://schemas.openxmlformats.org/officeDocument/2006/relationships/hyperlink" Target="https://doi.org/10.11591/edulearn.v13i4.14353" TargetMode="External"/><Relationship Id="rId2" Type="http://schemas.openxmlformats.org/officeDocument/2006/relationships/numbering" Target="numbering.xml"/><Relationship Id="rId16" Type="http://schemas.openxmlformats.org/officeDocument/2006/relationships/hyperlink" Target="https://doi.org/10.21831/pg.v13ixxxxxx" TargetMode="External"/><Relationship Id="rId20" Type="http://schemas.openxmlformats.org/officeDocument/2006/relationships/hyperlink" Target="https://doi.org/10.1177/2158244014564754" TargetMode="External"/><Relationship Id="rId29" Type="http://schemas.openxmlformats.org/officeDocument/2006/relationships/hyperlink" Target="https://doi.org/10.1145/2591708.2591739" TargetMode="External"/><Relationship Id="rId41" Type="http://schemas.openxmlformats.org/officeDocument/2006/relationships/hyperlink" Target="https://doi.org/10.1088/1742-6596/983/1/01208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1016/j.paid.2005.03.018" TargetMode="External"/><Relationship Id="rId32" Type="http://schemas.openxmlformats.org/officeDocument/2006/relationships/hyperlink" Target="https://doi:10.1088/1742-6596/1933/1/012073" TargetMode="External"/><Relationship Id="rId37" Type="http://schemas.openxmlformats.org/officeDocument/2006/relationships/hyperlink" Target="https://doi.org/10.1088/1742-6596/1233/1/012081" TargetMode="External"/><Relationship Id="rId40" Type="http://schemas.openxmlformats.org/officeDocument/2006/relationships/hyperlink" Target="https://doi.org/10.23917/jramathedu.v1i1.1785" TargetMode="External"/><Relationship Id="rId45" Type="http://schemas.openxmlformats.org/officeDocument/2006/relationships/hyperlink" Target="https://doi.org/10.1016/j.childyouth.2020.105847" TargetMode="Externa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016/S0959-4752(03)00068-9" TargetMode="External"/><Relationship Id="rId28" Type="http://schemas.openxmlformats.org/officeDocument/2006/relationships/hyperlink" Target="https://doi.org/10.1016/j.icj.2016.07.001" TargetMode="External"/><Relationship Id="rId36" Type="http://schemas.openxmlformats.org/officeDocument/2006/relationships/hyperlink" Target="https://doi.org/10.1088/1742-6596/1028/1/012142" TargetMode="External"/><Relationship Id="rId49" Type="http://schemas.openxmlformats.org/officeDocument/2006/relationships/header" Target="header2.xml"/><Relationship Id="rId10" Type="http://schemas.openxmlformats.org/officeDocument/2006/relationships/hyperlink" Target="mailto:sitizahra.2021@student.uny.ac.id" TargetMode="External"/><Relationship Id="rId19" Type="http://schemas.openxmlformats.org/officeDocument/2006/relationships/hyperlink" Target="https://doi.org/10.1088/1742-6596/1402/7/077083" TargetMode="External"/><Relationship Id="rId31" Type="http://schemas.openxmlformats.org/officeDocument/2006/relationships/hyperlink" Target="https://doi.org/10.1088/1742-6596/1232/1/012034" TargetMode="External"/><Relationship Id="rId44" Type="http://schemas.openxmlformats.org/officeDocument/2006/relationships/hyperlink" Target="https://doi.org/10.5539/elt.v5n9p54"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1831/pg.v13ixxxxxx" TargetMode="External"/><Relationship Id="rId22" Type="http://schemas.openxmlformats.org/officeDocument/2006/relationships/hyperlink" Target="https://doi.org/10.5430/wje.v7n6p63" TargetMode="External"/><Relationship Id="rId27" Type="http://schemas.openxmlformats.org/officeDocument/2006/relationships/hyperlink" Target="https://doi.org/10.1088/1742-6596/1521/3/032033" TargetMode="External"/><Relationship Id="rId30" Type="http://schemas.openxmlformats.org/officeDocument/2006/relationships/hyperlink" Target="https://doi.org/10.1016/j.paid.2005.02.018" TargetMode="External"/><Relationship Id="rId35" Type="http://schemas.openxmlformats.org/officeDocument/2006/relationships/hyperlink" Target="http://dx.doi.org/10.22342/jme.7.2.3534.91-100" TargetMode="External"/><Relationship Id="rId43" Type="http://schemas.openxmlformats.org/officeDocument/2006/relationships/hyperlink" Target="https://doi.org/10.1007/1-84628-067-2_27" TargetMode="External"/><Relationship Id="rId48" Type="http://schemas.openxmlformats.org/officeDocument/2006/relationships/header" Target="header1.xml"/><Relationship Id="rId8" Type="http://schemas.openxmlformats.org/officeDocument/2006/relationships/hyperlink" Target="https://orcid.org/0000-0002-1792-5873" TargetMode="External"/><Relationship Id="rId51" Type="http://schemas.openxmlformats.org/officeDocument/2006/relationships/footer" Target="footer2.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idah\Downloads\Artikel%20titin%20eko_PHYTAGORA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2FD5A-6E38-438F-B6E8-BF0BBBEA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Artikel titin eko_PHYTAGORAS (1)</Template>
  <TotalTime>573</TotalTime>
  <Pages>7</Pages>
  <Words>4312</Words>
  <Characters>24582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Pythagoras Vol. 14 No. 2 Th. 2019</vt:lpstr>
    </vt:vector>
  </TitlesOfParts>
  <Company/>
  <LinksUpToDate>false</LinksUpToDate>
  <CharactersWithSpaces>28837</CharactersWithSpaces>
  <SharedDoc>false</SharedDoc>
  <HLinks>
    <vt:vector size="12" baseType="variant">
      <vt:variant>
        <vt:i4>5898329</vt:i4>
      </vt:variant>
      <vt:variant>
        <vt:i4>3</vt:i4>
      </vt:variant>
      <vt:variant>
        <vt:i4>0</vt:i4>
      </vt:variant>
      <vt:variant>
        <vt:i4>5</vt:i4>
      </vt:variant>
      <vt:variant>
        <vt:lpwstr>http://dx.doi.org/10.21831/pg.v11i1.9672</vt:lpwstr>
      </vt:variant>
      <vt:variant>
        <vt:lpwstr/>
      </vt:variant>
      <vt:variant>
        <vt:i4>1966134</vt:i4>
      </vt:variant>
      <vt:variant>
        <vt:i4>0</vt:i4>
      </vt:variant>
      <vt:variant>
        <vt:i4>0</vt:i4>
      </vt:variant>
      <vt:variant>
        <vt:i4>5</vt:i4>
      </vt:variant>
      <vt:variant>
        <vt:lpwstr>mailto:retnawati.heriuny1@gmail.com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Pythagoras Vol. 14 No. 2 Th. 2019</dc:title>
  <dc:subject/>
  <dc:creator>Hamidah</dc:creator>
  <cp:keywords/>
  <cp:lastModifiedBy>Siti Zahra Zahrona</cp:lastModifiedBy>
  <cp:revision>14</cp:revision>
  <cp:lastPrinted>2019-09-12T02:41:00Z</cp:lastPrinted>
  <dcterms:created xsi:type="dcterms:W3CDTF">2022-09-30T07:29:00Z</dcterms:created>
  <dcterms:modified xsi:type="dcterms:W3CDTF">2022-11-06T22:44:00Z</dcterms:modified>
</cp:coreProperties>
</file>