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95A2D" w:rsidRPr="00690095" w:rsidRDefault="00895A2D" w:rsidP="00895A2D">
      <w:pPr>
        <w:pStyle w:val="Title"/>
        <w:rPr>
          <w:lang w:val="id-ID"/>
        </w:rPr>
      </w:pPr>
      <w:r>
        <w:t>W</w:t>
      </w:r>
      <w:r>
        <w:rPr>
          <w:lang w:val="id-ID"/>
        </w:rPr>
        <w:t>elcome to New Normal Era: Live Streaming or not?</w:t>
      </w:r>
      <w:r>
        <w:rPr>
          <w:lang w:val="en-US"/>
        </w:rPr>
        <w:t xml:space="preserve"> </w:t>
      </w:r>
      <w:r>
        <w:rPr>
          <w:lang w:val="id-ID"/>
        </w:rPr>
        <w:t>The Most Liked for Learning Style</w:t>
      </w:r>
    </w:p>
    <w:p w:rsidR="00895A2D" w:rsidRPr="00690095" w:rsidRDefault="00895A2D" w:rsidP="00895A2D">
      <w:pPr>
        <w:pStyle w:val="Authors"/>
        <w:rPr>
          <w:lang w:val="id-ID"/>
        </w:rPr>
      </w:pPr>
      <w:r>
        <w:rPr>
          <w:lang w:val="id-ID"/>
        </w:rPr>
        <w:t>P Rustika</w:t>
      </w:r>
      <w:r w:rsidRPr="00015CFA">
        <w:rPr>
          <w:b w:val="0"/>
          <w:vertAlign w:val="superscript"/>
          <w:lang w:val="id-ID"/>
        </w:rPr>
        <w:t>1,1</w:t>
      </w:r>
      <w:r w:rsidRPr="00015CFA">
        <w:rPr>
          <w:b w:val="0"/>
          <w:lang w:val="id-ID"/>
        </w:rPr>
        <w:t xml:space="preserve"> </w:t>
      </w:r>
      <w:r>
        <w:rPr>
          <w:lang w:val="id-ID"/>
        </w:rPr>
        <w:t>D Lusiyana</w:t>
      </w:r>
      <w:r w:rsidRPr="00015CFA">
        <w:rPr>
          <w:b w:val="0"/>
          <w:vertAlign w:val="superscript"/>
          <w:lang w:val="id-ID"/>
        </w:rPr>
        <w:t>2,1</w:t>
      </w:r>
    </w:p>
    <w:p w:rsidR="00895A2D" w:rsidRPr="00912478" w:rsidRDefault="00895A2D" w:rsidP="00895A2D">
      <w:pPr>
        <w:pStyle w:val="Addresses"/>
        <w:rPr>
          <w:sz w:val="20"/>
          <w:szCs w:val="20"/>
        </w:rPr>
      </w:pPr>
      <w:r>
        <w:rPr>
          <w:sz w:val="20"/>
          <w:szCs w:val="20"/>
          <w:vertAlign w:val="superscript"/>
          <w:lang w:val="id-ID"/>
        </w:rPr>
        <w:t>1</w:t>
      </w:r>
      <w:r w:rsidRPr="00912478">
        <w:rPr>
          <w:sz w:val="20"/>
          <w:szCs w:val="20"/>
        </w:rPr>
        <w:t>Mathematics Education Study Program</w:t>
      </w:r>
      <w:r w:rsidRPr="00912478">
        <w:rPr>
          <w:sz w:val="20"/>
          <w:szCs w:val="20"/>
          <w:lang w:val="id-ID"/>
        </w:rPr>
        <w:t xml:space="preserve">, </w:t>
      </w:r>
      <w:r w:rsidRPr="00912478">
        <w:rPr>
          <w:sz w:val="20"/>
          <w:szCs w:val="20"/>
        </w:rPr>
        <w:t xml:space="preserve">Universitas </w:t>
      </w:r>
      <w:r w:rsidRPr="00912478">
        <w:rPr>
          <w:sz w:val="20"/>
          <w:szCs w:val="20"/>
          <w:lang w:val="id-ID"/>
        </w:rPr>
        <w:t>Muhammadiyah Cirebon</w:t>
      </w:r>
      <w:r w:rsidRPr="00912478">
        <w:rPr>
          <w:sz w:val="20"/>
          <w:szCs w:val="20"/>
        </w:rPr>
        <w:t xml:space="preserve">, Jl. </w:t>
      </w:r>
      <w:r w:rsidRPr="00912478">
        <w:rPr>
          <w:sz w:val="20"/>
          <w:szCs w:val="20"/>
          <w:lang w:val="id-ID"/>
        </w:rPr>
        <w:t>Fatahillah - Watubelah - Sumber</w:t>
      </w:r>
      <w:r w:rsidRPr="00912478">
        <w:rPr>
          <w:sz w:val="20"/>
          <w:szCs w:val="20"/>
        </w:rPr>
        <w:t xml:space="preserve"> No.</w:t>
      </w:r>
      <w:r w:rsidRPr="00912478">
        <w:rPr>
          <w:sz w:val="20"/>
          <w:szCs w:val="20"/>
          <w:lang w:val="id-ID"/>
        </w:rPr>
        <w:t>40</w:t>
      </w:r>
      <w:r w:rsidRPr="00912478">
        <w:rPr>
          <w:sz w:val="20"/>
          <w:szCs w:val="20"/>
        </w:rPr>
        <w:t xml:space="preserve">, </w:t>
      </w:r>
      <w:r w:rsidRPr="00912478">
        <w:rPr>
          <w:sz w:val="20"/>
          <w:szCs w:val="20"/>
          <w:lang w:val="id-ID"/>
        </w:rPr>
        <w:t>Cirebon</w:t>
      </w:r>
      <w:r w:rsidRPr="00912478">
        <w:rPr>
          <w:sz w:val="20"/>
          <w:szCs w:val="20"/>
        </w:rPr>
        <w:t xml:space="preserve">, Indonesia </w:t>
      </w:r>
    </w:p>
    <w:p w:rsidR="00895A2D" w:rsidRPr="00912478" w:rsidRDefault="00895A2D" w:rsidP="00895A2D">
      <w:pPr>
        <w:pStyle w:val="E-mail"/>
        <w:ind w:left="0"/>
        <w:rPr>
          <w:sz w:val="20"/>
          <w:szCs w:val="20"/>
        </w:rPr>
      </w:pPr>
    </w:p>
    <w:p w:rsidR="00895A2D" w:rsidRPr="00912478" w:rsidRDefault="005C057E" w:rsidP="00895A2D">
      <w:pPr>
        <w:pStyle w:val="E-mail"/>
        <w:rPr>
          <w:sz w:val="20"/>
          <w:szCs w:val="20"/>
          <w:lang w:val="id-ID"/>
        </w:rPr>
      </w:pPr>
      <w:hyperlink r:id="rId7" w:history="1">
        <w:r w:rsidR="00895A2D" w:rsidRPr="00912478">
          <w:rPr>
            <w:rStyle w:val="Hyperlink"/>
            <w:sz w:val="20"/>
            <w:szCs w:val="20"/>
            <w:lang w:val="id-ID"/>
          </w:rPr>
          <w:t>putikrustika@gmail.com</w:t>
        </w:r>
      </w:hyperlink>
      <w:r w:rsidR="00895A2D" w:rsidRPr="00912478">
        <w:rPr>
          <w:sz w:val="20"/>
          <w:szCs w:val="20"/>
          <w:lang w:val="id-ID"/>
        </w:rPr>
        <w:t>; desylusiyana@gmail.com</w:t>
      </w:r>
    </w:p>
    <w:p w:rsidR="006A5863" w:rsidRDefault="00895A2D" w:rsidP="006A5863">
      <w:pPr>
        <w:ind w:left="1418"/>
        <w:jc w:val="both"/>
        <w:rPr>
          <w:sz w:val="20"/>
        </w:rPr>
      </w:pPr>
      <w:r>
        <w:rPr>
          <w:b/>
          <w:sz w:val="20"/>
        </w:rPr>
        <w:t>Abstract</w:t>
      </w:r>
      <w:r>
        <w:rPr>
          <w:sz w:val="20"/>
        </w:rPr>
        <w:t>. The era of new normal makes some changes for our daily activity. One of the effects is showed in learning activity for education. Students have to use internet system for learning especially in mathematics learning. But sometimes students are not ready to use this online system for studying. The aim of this study is to describe students' interest in online learning between synchronous and asynchronous communication. The other purpose of this study is to investigate the differences of students’ interest between synchronous and asynchronous in online learning. The population of this research are students of Universitas Muhammadiyah Cirebon. This is a quantitative descriptive research. Forty students are selected by using the stratified random sampling technique. They are all mathematics students. The result of this study shows that synchronous communication is more likeable for learning than asynchronous communication</w:t>
      </w:r>
      <w:r w:rsidR="006A5863">
        <w:rPr>
          <w:sz w:val="20"/>
          <w:lang w:val="id-ID"/>
        </w:rPr>
        <w:t>,</w:t>
      </w:r>
      <w:r w:rsidR="006A5863" w:rsidRPr="006A5863">
        <w:rPr>
          <w:sz w:val="20"/>
        </w:rPr>
        <w:t xml:space="preserve"> </w:t>
      </w:r>
      <w:r w:rsidR="006A5863">
        <w:rPr>
          <w:sz w:val="20"/>
        </w:rPr>
        <w:t>but there are no differences of students’ interest between syncronous and asyncronous learning.</w:t>
      </w:r>
    </w:p>
    <w:p w:rsidR="00895A2D" w:rsidRDefault="00895A2D" w:rsidP="006A5863">
      <w:pPr>
        <w:jc w:val="both"/>
        <w:rPr>
          <w:sz w:val="20"/>
        </w:rPr>
      </w:pPr>
      <w:bookmarkStart w:id="0" w:name="_GoBack"/>
      <w:bookmarkEnd w:id="0"/>
    </w:p>
    <w:p w:rsidR="00895A2D" w:rsidRPr="00912478" w:rsidRDefault="00895A2D" w:rsidP="00895A2D">
      <w:pPr>
        <w:ind w:left="1418"/>
        <w:rPr>
          <w:sz w:val="20"/>
        </w:rPr>
      </w:pPr>
    </w:p>
    <w:p w:rsidR="00895A2D" w:rsidRDefault="00895A2D" w:rsidP="00895A2D">
      <w:pPr>
        <w:ind w:left="1418"/>
        <w:rPr>
          <w:sz w:val="20"/>
          <w:lang w:val="id-ID"/>
        </w:rPr>
      </w:pPr>
      <w:r w:rsidRPr="00912478">
        <w:rPr>
          <w:b/>
          <w:sz w:val="20"/>
        </w:rPr>
        <w:t>Keywords</w:t>
      </w:r>
      <w:r w:rsidRPr="00912478">
        <w:rPr>
          <w:sz w:val="20"/>
        </w:rPr>
        <w:t xml:space="preserve">: </w:t>
      </w:r>
      <w:r w:rsidRPr="00912478">
        <w:rPr>
          <w:sz w:val="20"/>
          <w:lang w:val="id-ID"/>
        </w:rPr>
        <w:t>Online Learning; Virtual Communication; Students’ Interest</w:t>
      </w:r>
    </w:p>
    <w:p w:rsidR="00895A2D" w:rsidRDefault="00895A2D" w:rsidP="00895A2D">
      <w:pPr>
        <w:ind w:left="1418"/>
        <w:rPr>
          <w:sz w:val="20"/>
          <w:lang w:val="id-ID"/>
        </w:rPr>
      </w:pPr>
    </w:p>
    <w:p w:rsidR="00895A2D" w:rsidRDefault="00895A2D" w:rsidP="00895A2D">
      <w:pPr>
        <w:ind w:left="1418"/>
        <w:rPr>
          <w:sz w:val="20"/>
          <w:lang w:val="id-ID"/>
        </w:rPr>
      </w:pPr>
    </w:p>
    <w:p w:rsidR="00895A2D" w:rsidRDefault="00895A2D" w:rsidP="00895A2D">
      <w:pPr>
        <w:ind w:left="1418"/>
        <w:rPr>
          <w:sz w:val="20"/>
          <w:lang w:val="id-ID"/>
        </w:rPr>
      </w:pPr>
    </w:p>
    <w:p w:rsidR="00CA5EC2" w:rsidRPr="00015CFA" w:rsidRDefault="00CA5EC2" w:rsidP="00895A2D">
      <w:pPr>
        <w:ind w:left="1418"/>
        <w:rPr>
          <w:sz w:val="20"/>
          <w:lang w:val="id-ID"/>
        </w:rPr>
      </w:pPr>
    </w:p>
    <w:p w:rsidR="00895A2D" w:rsidRPr="00895A2D" w:rsidRDefault="00895A2D" w:rsidP="00895A2D">
      <w:pPr>
        <w:pStyle w:val="Section"/>
        <w:numPr>
          <w:ilvl w:val="0"/>
          <w:numId w:val="2"/>
        </w:numPr>
        <w:tabs>
          <w:tab w:val="left" w:pos="5635"/>
        </w:tabs>
        <w:ind w:left="284" w:hanging="284"/>
        <w:rPr>
          <w:lang w:val="id-ID"/>
        </w:rPr>
      </w:pPr>
      <w:r>
        <w:rPr>
          <w:lang w:val="id-ID"/>
        </w:rPr>
        <w:t>Introduction</w:t>
      </w:r>
      <w:r>
        <w:rPr>
          <w:lang w:val="id-ID"/>
        </w:rPr>
        <w:tab/>
      </w:r>
      <w:r w:rsidRPr="00895A2D">
        <w:rPr>
          <w:rFonts w:eastAsia="Times"/>
        </w:rPr>
        <w:t xml:space="preserve"> </w:t>
      </w:r>
    </w:p>
    <w:p w:rsidR="00895A2D" w:rsidRPr="00895A2D" w:rsidRDefault="00895A2D" w:rsidP="00895A2D">
      <w:pPr>
        <w:pStyle w:val="BodytextIndented"/>
        <w:rPr>
          <w:rFonts w:eastAsia="Times"/>
        </w:rPr>
      </w:pPr>
      <w:r w:rsidRPr="00895A2D">
        <w:rPr>
          <w:rFonts w:eastAsia="Times"/>
        </w:rPr>
        <w:t>Learning is a process for someone to gain knowledge. The purpose</w:t>
      </w:r>
      <w:r>
        <w:rPr>
          <w:rFonts w:eastAsia="Times"/>
        </w:rPr>
        <w:t>s</w:t>
      </w:r>
      <w:r w:rsidRPr="00895A2D">
        <w:rPr>
          <w:rFonts w:eastAsia="Times"/>
        </w:rPr>
        <w:t xml:space="preserve"> of learning</w:t>
      </w:r>
      <w:r>
        <w:rPr>
          <w:rFonts w:eastAsia="Times"/>
        </w:rPr>
        <w:t>,</w:t>
      </w:r>
      <w:r w:rsidRPr="00895A2D">
        <w:rPr>
          <w:rFonts w:eastAsia="Times"/>
        </w:rPr>
        <w:t xml:space="preserve"> according to Gordon and Jeannette (2001: 107)</w:t>
      </w:r>
      <w:r>
        <w:rPr>
          <w:rFonts w:eastAsia="Times"/>
        </w:rPr>
        <w:t>,</w:t>
      </w:r>
      <w:r w:rsidRPr="00895A2D">
        <w:rPr>
          <w:rFonts w:eastAsia="Times"/>
        </w:rPr>
        <w:t xml:space="preserve"> </w:t>
      </w:r>
      <w:r>
        <w:rPr>
          <w:rFonts w:eastAsia="Times"/>
        </w:rPr>
        <w:t>consist</w:t>
      </w:r>
      <w:r w:rsidRPr="00895A2D">
        <w:rPr>
          <w:rFonts w:eastAsia="Times"/>
        </w:rPr>
        <w:t xml:space="preserve"> </w:t>
      </w:r>
      <w:r>
        <w:rPr>
          <w:rFonts w:eastAsia="Times"/>
        </w:rPr>
        <w:t>of</w:t>
      </w:r>
      <w:r w:rsidRPr="00895A2D">
        <w:rPr>
          <w:rFonts w:eastAsia="Times"/>
        </w:rPr>
        <w:t xml:space="preserve"> three, namely: (1) learning skills and knowledge about specific subject matter, (2) developing general conceptual abilities, being able to learn to appl</w:t>
      </w:r>
      <w:r>
        <w:rPr>
          <w:rFonts w:eastAsia="Times"/>
        </w:rPr>
        <w:t xml:space="preserve">y the same or similar concepts </w:t>
      </w:r>
      <w:r w:rsidRPr="00895A2D">
        <w:rPr>
          <w:rFonts w:eastAsia="Times"/>
        </w:rPr>
        <w:t>related to other fields, (3) developing personal abilities and attitudes that can easily be used in all actions. A person's desire to learn varies depending on the learning style of each individual. Educational institutions have become a place for someone to learn. The teacher is one of the facilitators for someone to develop interest in learning.</w:t>
      </w:r>
    </w:p>
    <w:p w:rsidR="00895A2D" w:rsidRPr="003415B4" w:rsidRDefault="00895A2D" w:rsidP="00895A2D">
      <w:pPr>
        <w:pStyle w:val="BodytextIndented"/>
        <w:rPr>
          <w:lang w:val="id-ID"/>
        </w:rPr>
      </w:pPr>
      <w:r w:rsidRPr="00895A2D">
        <w:rPr>
          <w:lang w:val="id-ID"/>
        </w:rPr>
        <w:t xml:space="preserve">Interest is a situation where someone has the desire to know and study as well as prove more about a certain object with the understanding that there is a more active relationship to that object. Meanwhile, according to Slameto (2003; 54) developing an interest in something is basically helping students </w:t>
      </w:r>
      <w:r>
        <w:t xml:space="preserve">to </w:t>
      </w:r>
      <w:r w:rsidRPr="00895A2D">
        <w:rPr>
          <w:lang w:val="id-ID"/>
        </w:rPr>
        <w:t xml:space="preserve">see how the relationship between the material they are expected to study with themselves as individuals. This process means showing students how certain knowledge or skills affect </w:t>
      </w:r>
      <w:r>
        <w:t>them</w:t>
      </w:r>
      <w:r w:rsidRPr="00895A2D">
        <w:rPr>
          <w:lang w:val="id-ID"/>
        </w:rPr>
        <w:t xml:space="preserve">, but rather </w:t>
      </w:r>
      <w:r>
        <w:t>their</w:t>
      </w:r>
      <w:r w:rsidRPr="00895A2D">
        <w:rPr>
          <w:lang w:val="id-ID"/>
        </w:rPr>
        <w:t xml:space="preserve"> goals, </w:t>
      </w:r>
      <w:r w:rsidRPr="00895A2D">
        <w:rPr>
          <w:lang w:val="id-ID"/>
        </w:rPr>
        <w:lastRenderedPageBreak/>
        <w:t xml:space="preserve">satisfy </w:t>
      </w:r>
      <w:r>
        <w:t>their</w:t>
      </w:r>
      <w:r w:rsidRPr="00895A2D">
        <w:rPr>
          <w:lang w:val="id-ID"/>
        </w:rPr>
        <w:t xml:space="preserve"> needs. When students realize that learning is a tool to achieve several goals that they consider important and when students see that the results of their learning experiences wil</w:t>
      </w:r>
      <w:r>
        <w:rPr>
          <w:lang w:val="id-ID"/>
        </w:rPr>
        <w:t>l bring progress to themselves m</w:t>
      </w:r>
      <w:r w:rsidRPr="00895A2D">
        <w:rPr>
          <w:lang w:val="id-ID"/>
        </w:rPr>
        <w:t xml:space="preserve">ost likely </w:t>
      </w:r>
      <w:r>
        <w:t>they</w:t>
      </w:r>
      <w:r>
        <w:rPr>
          <w:lang w:val="id-ID"/>
        </w:rPr>
        <w:t xml:space="preserve"> will be interested and will be motivated</w:t>
      </w:r>
      <w:r w:rsidRPr="00895A2D">
        <w:rPr>
          <w:lang w:val="id-ID"/>
        </w:rPr>
        <w:t xml:space="preserve"> to learn it (Slameto, 2003: 54). So, </w:t>
      </w:r>
      <w:r>
        <w:t xml:space="preserve">it is important for us </w:t>
      </w:r>
      <w:r w:rsidRPr="00895A2D">
        <w:rPr>
          <w:lang w:val="id-ID"/>
        </w:rPr>
        <w:t>to know the interest in learning of students in every development of the learning system, especially in the current era, namely online learning.</w:t>
      </w:r>
    </w:p>
    <w:p w:rsidR="00895A2D" w:rsidRPr="00FB640F" w:rsidRDefault="00895A2D" w:rsidP="00895A2D">
      <w:pPr>
        <w:pStyle w:val="BodytextIndented"/>
        <w:rPr>
          <w:lang w:val="id-ID"/>
        </w:rPr>
      </w:pPr>
      <w:r w:rsidRPr="00895A2D">
        <w:rPr>
          <w:lang w:val="id-ID"/>
        </w:rPr>
        <w:t>According to Dabbagh and Ritland (2005: 15) online learning is an open and distributed learning system using pedagogical tools (educational aids), which are made possible through the internet and network-based technology to facilitate the formation of learning and knowledge processes through meaningful actions and interactions. The new normal era due to the Covid 19 pandemic is now changing the face-to-face learning system into distance learning. The use of technology is very useful in the new n</w:t>
      </w:r>
      <w:r>
        <w:rPr>
          <w:lang w:val="id-ID"/>
        </w:rPr>
        <w:t>ormal era now. Tahirov suggests that</w:t>
      </w:r>
      <w:r w:rsidRPr="00895A2D">
        <w:rPr>
          <w:lang w:val="id-ID"/>
        </w:rPr>
        <w:t xml:space="preserve"> Information Technology (IT) which consists of integration of computer and communication technologies, and especially effects on developments in communication technogies infrastructure. As for Varol, who states considering the purpose of education which is educating individuals towards needs of the community, it is clear that education has quite an important role in bringing up students for this IT era (Bakioğlu et al., 2015).</w:t>
      </w:r>
    </w:p>
    <w:p w:rsidR="00895A2D" w:rsidRDefault="00895A2D" w:rsidP="00895A2D">
      <w:pPr>
        <w:pStyle w:val="BodytextIndented"/>
        <w:rPr>
          <w:lang w:val="id-ID"/>
        </w:rPr>
      </w:pPr>
      <w:r w:rsidRPr="00895A2D">
        <w:rPr>
          <w:lang w:val="id-ID"/>
        </w:rPr>
        <w:t>The communication technology used in online learning by teachers is virtual communication. Virtual communication in online learning is categorized into two types, namely virtual synchronous and independent asynchronous which are usually called synchronous and asynchronous communication. As for Chaeruman (2013</w:t>
      </w:r>
      <w:r>
        <w:rPr>
          <w:lang w:val="id-ID"/>
        </w:rPr>
        <w:t>) states virtual synchronous (VS</w:t>
      </w:r>
      <w:r w:rsidRPr="00895A2D">
        <w:rPr>
          <w:lang w:val="id-ID"/>
        </w:rPr>
        <w:t>), is learning that occurs</w:t>
      </w:r>
      <w:r>
        <w:rPr>
          <w:lang w:val="id-ID"/>
        </w:rPr>
        <w:t xml:space="preserve"> in a situation between learners and trachers</w:t>
      </w:r>
      <w:r w:rsidRPr="00895A2D">
        <w:rPr>
          <w:lang w:val="id-ID"/>
        </w:rPr>
        <w:t xml:space="preserve"> being at the same time, but the places differ from one an</w:t>
      </w:r>
      <w:r>
        <w:rPr>
          <w:lang w:val="id-ID"/>
        </w:rPr>
        <w:t>other. Learning activities in VS</w:t>
      </w:r>
      <w:r w:rsidRPr="00895A2D">
        <w:rPr>
          <w:lang w:val="id-ID"/>
        </w:rPr>
        <w:t xml:space="preserve"> can occur through synchronous technology such as video conferencing, audio-conferencing, or web-based seminars (webinars), wh</w:t>
      </w:r>
      <w:r>
        <w:rPr>
          <w:lang w:val="id-ID"/>
        </w:rPr>
        <w:t>ile independent asynchronous (IA</w:t>
      </w:r>
      <w:r w:rsidRPr="00895A2D">
        <w:rPr>
          <w:lang w:val="id-ID"/>
        </w:rPr>
        <w:t>) is learning that occurs in online independent learning situations. Learning participants can study anytime, anywhere, according to their respective conditions and speed of s</w:t>
      </w:r>
      <w:r>
        <w:rPr>
          <w:lang w:val="id-ID"/>
        </w:rPr>
        <w:t xml:space="preserve">tudy. Learning activities in IA </w:t>
      </w:r>
      <w:r w:rsidRPr="00895A2D">
        <w:rPr>
          <w:lang w:val="id-ID"/>
        </w:rPr>
        <w:t>include reading, listening, watching, practicing, simulating, and practicing by making use of certain relevant learning objects (digital materials). More learning activities occur online, although it is possible to occur offline (Darma et al., 2020). This study aims to determine how the effect of online learning with virtual synchronous virtual communication and independent asynchronous on learning interest in mathematics education students of Muhammadiyah University of Cirebon which has been carried out in online learning activities.</w:t>
      </w:r>
    </w:p>
    <w:p w:rsidR="00895A2D" w:rsidRDefault="00895A2D" w:rsidP="00895A2D">
      <w:pPr>
        <w:pStyle w:val="BodytextIndented"/>
        <w:rPr>
          <w:lang w:val="id-ID"/>
        </w:rPr>
      </w:pPr>
      <w:r w:rsidRPr="00895A2D">
        <w:rPr>
          <w:lang w:val="id-ID"/>
        </w:rPr>
        <w:t>Online learning activities with categories in virtual sync are learning that is carried out directly or live using digital-based communication applications, such as google meet, zoom, videocall, and others. As stated by Khan (2006), the basic component of synchronous e-learning learning is as “Interact of participants with an instructor via the Web in real time (Shahabadi &amp; Uplane, 2015). Meanwhile, digital-based independent asynchronous is learning that is carried out indirectly, but only distributes material in the form of learning videos, ppt, micromedia flash, as well as the distribution of assignments through applications such as google classroom, moodle, website, and others. Khan (2006) also states that "Asynchronous learning refers to instruction that is not constrained by geography or time". The concept of asynchronous learning tends to be that learning can be anywhere, anytime, and by anyone. Meanwhile, the presentation according to Gao et al. (2013) said uncovered four ways that online instructors organize asynchronous online discussions: (a) constrained environments, (b) visualized environments, (c) anchored environments, and (d) combined environments. In constrained environments, teachers give students sentence starters or frames. In visualized environments, teachers provide students with software that allows them to turn their discussions into concepts maps. In anchored environments, teachers give students texts to annotate and ask students to turn in their annotated texts for the discussion. In combined environments, teachers ask students to participate in two or more types of discussion. Meanwhile, the results of the research by De Noyelles, Mannheimer Zydney, and Baiyun Chen (2014) reviewed the literature on asynchronous online discussions. They discovered that asynchronous online discussions are improved when instructors modeled good social presence, required participation in the discussions, and graded the discussions (Corfman &amp; Beck, 2019). Based on existing explanations, researchers want to know how the interest in online learning is with the concept of synchronous and asynchronous communication especially in the new normal era now.</w:t>
      </w:r>
    </w:p>
    <w:p w:rsidR="00895A2D" w:rsidRDefault="00895A2D" w:rsidP="00895A2D">
      <w:pPr>
        <w:pStyle w:val="BodytextIndented"/>
        <w:rPr>
          <w:lang w:val="id-ID"/>
        </w:rPr>
      </w:pPr>
    </w:p>
    <w:p w:rsidR="00CA5EC2" w:rsidRDefault="00CA5EC2" w:rsidP="00895A2D">
      <w:pPr>
        <w:pStyle w:val="BodytextIndented"/>
        <w:rPr>
          <w:lang w:val="id-ID"/>
        </w:rPr>
      </w:pPr>
    </w:p>
    <w:p w:rsidR="00895A2D" w:rsidRDefault="00895A2D" w:rsidP="00895A2D">
      <w:pPr>
        <w:pStyle w:val="BodytextIndented"/>
        <w:numPr>
          <w:ilvl w:val="0"/>
          <w:numId w:val="2"/>
        </w:numPr>
        <w:ind w:left="284" w:hanging="284"/>
        <w:rPr>
          <w:b/>
          <w:lang w:val="id-ID"/>
        </w:rPr>
      </w:pPr>
      <w:r w:rsidRPr="004871C5">
        <w:rPr>
          <w:b/>
          <w:lang w:val="id-ID"/>
        </w:rPr>
        <w:t>General Rationale and Hypothesis</w:t>
      </w:r>
    </w:p>
    <w:p w:rsidR="00895A2D" w:rsidRDefault="0033100D" w:rsidP="00895A2D">
      <w:pPr>
        <w:pStyle w:val="Bodytext"/>
        <w:rPr>
          <w:lang w:val="id-ID"/>
        </w:rPr>
      </w:pPr>
      <w:r w:rsidRPr="0033100D">
        <w:rPr>
          <w:lang w:val="id-ID"/>
        </w:rPr>
        <w:t>Whe</w:t>
      </w:r>
      <w:r w:rsidR="007F4290">
        <w:rPr>
          <w:lang w:val="id-ID"/>
        </w:rPr>
        <w:t>n the Covid 19 pandemic occurred</w:t>
      </w:r>
      <w:r>
        <w:t xml:space="preserve"> </w:t>
      </w:r>
      <w:r w:rsidR="007F4290">
        <w:rPr>
          <w:lang w:val="id-ID"/>
        </w:rPr>
        <w:t>in 2020, education units moved</w:t>
      </w:r>
      <w:r w:rsidRPr="0033100D">
        <w:rPr>
          <w:lang w:val="id-ID"/>
        </w:rPr>
        <w:t xml:space="preserve"> quickly to change learning styles by using the concept of distance learning or online learning, especially for actors in the field of education, namely educators and students. However, this has the most influence on the learning styles of the participants themselves to set effective learning strategies</w:t>
      </w:r>
      <w:r w:rsidR="007F4290">
        <w:t xml:space="preserve"> and</w:t>
      </w:r>
      <w:r w:rsidRPr="0033100D">
        <w:rPr>
          <w:lang w:val="id-ID"/>
        </w:rPr>
        <w:t xml:space="preserve"> how and when to use them for themselves. </w:t>
      </w:r>
      <w:r w:rsidR="007F4290">
        <w:rPr>
          <w:lang w:val="id-ID"/>
        </w:rPr>
        <w:t>This is stated by Garner that</w:t>
      </w:r>
      <w:r w:rsidRPr="0033100D">
        <w:rPr>
          <w:lang w:val="id-ID"/>
        </w:rPr>
        <w:t xml:space="preserve"> the ability to effectively employ self-regulation skills may even more critical in distance education environments than in traditional classrooms. In essence, distance education entails multiple episodes of on-line learning and multiple opportunities to engage in self-regulated learning (Bol &amp; Garner, 2011). Students' learning interest in online learning with synchronous and asynchronous communication types is needed to determine what kind of online learning strategy is preferred by students.</w:t>
      </w:r>
      <w:r w:rsidR="00895A2D">
        <w:rPr>
          <w:lang w:val="id-ID"/>
        </w:rPr>
        <w:t xml:space="preserve"> </w:t>
      </w:r>
    </w:p>
    <w:p w:rsidR="007F4290" w:rsidRPr="007F4290" w:rsidRDefault="007F4290" w:rsidP="007F4290">
      <w:pPr>
        <w:pStyle w:val="BodytextIndented"/>
        <w:rPr>
          <w:lang w:val="id-ID"/>
        </w:rPr>
      </w:pPr>
      <w:r w:rsidRPr="007F4290">
        <w:rPr>
          <w:lang w:val="id-ID"/>
        </w:rPr>
        <w:t>Synchronous and asynchronous virtual communication has its own advantages and disadvantages. This type of virtual synchronous communication h</w:t>
      </w:r>
      <w:r>
        <w:rPr>
          <w:lang w:val="id-ID"/>
        </w:rPr>
        <w:t>as advantages</w:t>
      </w:r>
      <w:r>
        <w:t>,</w:t>
      </w:r>
      <w:r>
        <w:rPr>
          <w:lang w:val="id-ID"/>
        </w:rPr>
        <w:t xml:space="preserve"> such as increasing </w:t>
      </w:r>
      <w:r w:rsidRPr="007F4290">
        <w:rPr>
          <w:lang w:val="id-ID"/>
        </w:rPr>
        <w:t>motivation to process information and convergence on meaning, but learning time is limited. While the type of virtual asynchronous com</w:t>
      </w:r>
      <w:r>
        <w:rPr>
          <w:lang w:val="id-ID"/>
        </w:rPr>
        <w:t>munication has the advantages, such as increasing</w:t>
      </w:r>
      <w:r w:rsidRPr="007F4290">
        <w:rPr>
          <w:lang w:val="id-ID"/>
        </w:rPr>
        <w:t xml:space="preserve"> reflection and ability, however, students will feel isolated because they do not communicate directly (Stefan Hrastinski, n.d, 2008).</w:t>
      </w:r>
    </w:p>
    <w:p w:rsidR="00895A2D" w:rsidRDefault="007F4290" w:rsidP="007F4290">
      <w:pPr>
        <w:pStyle w:val="BodytextIndented"/>
        <w:rPr>
          <w:lang w:val="id-ID"/>
        </w:rPr>
      </w:pPr>
      <w:r w:rsidRPr="007F4290">
        <w:rPr>
          <w:lang w:val="id-ID"/>
        </w:rPr>
        <w:t>This study has a hypothesis that students' interest in learning with online learning that has been carried out in the new normal era with synchronous and asynchronous communication types will be classified as good and there are differences in student interest in learning between online learning with synchronous and asynchronous communication types.</w:t>
      </w:r>
    </w:p>
    <w:p w:rsidR="00895A2D" w:rsidRDefault="00895A2D" w:rsidP="00895A2D">
      <w:pPr>
        <w:pStyle w:val="BodytextIndented"/>
        <w:ind w:firstLine="0"/>
        <w:rPr>
          <w:lang w:val="id-ID"/>
        </w:rPr>
      </w:pPr>
    </w:p>
    <w:p w:rsidR="00895A2D" w:rsidRDefault="00895A2D" w:rsidP="00895A2D">
      <w:pPr>
        <w:pStyle w:val="BodytextIndented"/>
        <w:numPr>
          <w:ilvl w:val="0"/>
          <w:numId w:val="2"/>
        </w:numPr>
        <w:ind w:left="284" w:hanging="284"/>
        <w:rPr>
          <w:b/>
          <w:lang w:val="id-ID"/>
        </w:rPr>
      </w:pPr>
      <w:r w:rsidRPr="00115ADB">
        <w:rPr>
          <w:b/>
          <w:lang w:val="id-ID"/>
        </w:rPr>
        <w:t>Methods</w:t>
      </w:r>
    </w:p>
    <w:p w:rsidR="00CA5EC2" w:rsidRDefault="00CA5EC2" w:rsidP="00CA5EC2">
      <w:pPr>
        <w:pStyle w:val="BodytextIndented"/>
        <w:ind w:left="284" w:firstLine="0"/>
        <w:rPr>
          <w:b/>
          <w:lang w:val="id-ID"/>
        </w:rPr>
      </w:pPr>
    </w:p>
    <w:p w:rsidR="00895A2D" w:rsidRDefault="00895A2D" w:rsidP="00895A2D">
      <w:pPr>
        <w:pStyle w:val="BodytextIndented"/>
        <w:ind w:firstLine="0"/>
        <w:rPr>
          <w:b/>
          <w:lang w:val="id-ID"/>
        </w:rPr>
      </w:pPr>
      <w:r w:rsidRPr="00115ADB">
        <w:rPr>
          <w:b/>
          <w:lang w:val="id-ID"/>
        </w:rPr>
        <w:t xml:space="preserve">Participants </w:t>
      </w:r>
    </w:p>
    <w:p w:rsidR="00CA5EC2" w:rsidRDefault="00CA5EC2" w:rsidP="00895A2D">
      <w:pPr>
        <w:pStyle w:val="BodytextIndented"/>
        <w:ind w:firstLine="0"/>
        <w:rPr>
          <w:b/>
          <w:lang w:val="id-ID"/>
        </w:rPr>
      </w:pPr>
    </w:p>
    <w:p w:rsidR="00895A2D" w:rsidRDefault="00895A2D" w:rsidP="00895A2D">
      <w:pPr>
        <w:pStyle w:val="BodytextIndented"/>
        <w:ind w:firstLine="567"/>
        <w:rPr>
          <w:lang w:val="id-ID"/>
        </w:rPr>
      </w:pPr>
      <w:r>
        <w:rPr>
          <w:lang w:val="id-ID"/>
        </w:rPr>
        <w:t xml:space="preserve">The </w:t>
      </w:r>
      <w:r w:rsidRPr="001A0224">
        <w:rPr>
          <w:lang w:val="id-ID"/>
        </w:rPr>
        <w:t>sample of the stud</w:t>
      </w:r>
      <w:r>
        <w:rPr>
          <w:lang w:val="id-ID"/>
        </w:rPr>
        <w:t xml:space="preserve">y consists of 40 students from Mathematics Education Departement </w:t>
      </w:r>
      <w:r w:rsidR="007B6C6F">
        <w:t xml:space="preserve">of </w:t>
      </w:r>
      <w:r>
        <w:rPr>
          <w:lang w:val="id-ID"/>
        </w:rPr>
        <w:t>Universitas Muhammadiyah Cirebon</w:t>
      </w:r>
      <w:r w:rsidRPr="001A0224">
        <w:rPr>
          <w:lang w:val="id-ID"/>
        </w:rPr>
        <w:t xml:space="preserve">.  </w:t>
      </w:r>
    </w:p>
    <w:p w:rsidR="00CA5EC2" w:rsidRPr="001A0224" w:rsidRDefault="00CA5EC2" w:rsidP="00895A2D">
      <w:pPr>
        <w:pStyle w:val="BodytextIndented"/>
        <w:ind w:firstLine="567"/>
        <w:rPr>
          <w:lang w:val="id-ID"/>
        </w:rPr>
      </w:pPr>
    </w:p>
    <w:p w:rsidR="00895A2D" w:rsidRDefault="00895A2D" w:rsidP="00895A2D">
      <w:pPr>
        <w:pStyle w:val="BodytextIndented"/>
        <w:ind w:firstLine="0"/>
        <w:rPr>
          <w:b/>
          <w:lang w:val="id-ID"/>
        </w:rPr>
      </w:pPr>
      <w:r w:rsidRPr="00115ADB">
        <w:rPr>
          <w:b/>
          <w:lang w:val="id-ID"/>
        </w:rPr>
        <w:t xml:space="preserve">Data Collection Tool </w:t>
      </w:r>
    </w:p>
    <w:p w:rsidR="00CA5EC2" w:rsidRDefault="00CA5EC2" w:rsidP="00895A2D">
      <w:pPr>
        <w:pStyle w:val="BodytextIndented"/>
        <w:ind w:firstLine="0"/>
        <w:rPr>
          <w:b/>
          <w:lang w:val="id-ID"/>
        </w:rPr>
      </w:pPr>
    </w:p>
    <w:p w:rsidR="00895A2D" w:rsidRDefault="007B6C6F" w:rsidP="00895A2D">
      <w:pPr>
        <w:pStyle w:val="BodytextIndented"/>
        <w:ind w:firstLine="567"/>
        <w:rPr>
          <w:lang w:val="id-ID"/>
        </w:rPr>
      </w:pPr>
      <w:r>
        <w:rPr>
          <w:lang w:val="id-ID"/>
        </w:rPr>
        <w:t xml:space="preserve">Questionnaire </w:t>
      </w:r>
      <w:r w:rsidR="00895A2D" w:rsidRPr="001A0224">
        <w:rPr>
          <w:lang w:val="id-ID"/>
        </w:rPr>
        <w:t xml:space="preserve">which is prepared by authors, is used as data collection tool. The </w:t>
      </w:r>
      <w:r>
        <w:rPr>
          <w:lang w:val="id-ID"/>
        </w:rPr>
        <w:t>questionnaire consists</w:t>
      </w:r>
      <w:r w:rsidR="00895A2D">
        <w:rPr>
          <w:lang w:val="id-ID"/>
        </w:rPr>
        <w:t xml:space="preserve"> of 22</w:t>
      </w:r>
      <w:r w:rsidR="00895A2D" w:rsidRPr="001A0224">
        <w:rPr>
          <w:lang w:val="id-ID"/>
        </w:rPr>
        <w:t xml:space="preserve"> questions</w:t>
      </w:r>
      <w:r w:rsidR="00895A2D">
        <w:rPr>
          <w:lang w:val="id-ID"/>
        </w:rPr>
        <w:t xml:space="preserve"> for syncronous and 17 questions for asyncronous by students’ interest indicators</w:t>
      </w:r>
      <w:r w:rsidR="00895A2D" w:rsidRPr="001A0224">
        <w:rPr>
          <w:lang w:val="id-ID"/>
        </w:rPr>
        <w:t xml:space="preserve">. </w:t>
      </w:r>
    </w:p>
    <w:p w:rsidR="00CA5EC2" w:rsidRPr="001A0224" w:rsidRDefault="00CA5EC2" w:rsidP="00895A2D">
      <w:pPr>
        <w:pStyle w:val="BodytextIndented"/>
        <w:ind w:firstLine="567"/>
        <w:rPr>
          <w:lang w:val="id-ID"/>
        </w:rPr>
      </w:pPr>
    </w:p>
    <w:p w:rsidR="00895A2D" w:rsidRDefault="00895A2D" w:rsidP="00895A2D">
      <w:pPr>
        <w:pStyle w:val="BodytextIndented"/>
        <w:ind w:firstLine="0"/>
        <w:rPr>
          <w:b/>
        </w:rPr>
      </w:pPr>
      <w:r w:rsidRPr="00115ADB">
        <w:rPr>
          <w:b/>
          <w:lang w:val="id-ID"/>
        </w:rPr>
        <w:t xml:space="preserve">Data Analysis </w:t>
      </w:r>
    </w:p>
    <w:p w:rsidR="00CA5EC2" w:rsidRPr="00CA5EC2" w:rsidRDefault="00CA5EC2" w:rsidP="00895A2D">
      <w:pPr>
        <w:pStyle w:val="BodytextIndented"/>
        <w:ind w:firstLine="0"/>
        <w:rPr>
          <w:b/>
        </w:rPr>
      </w:pPr>
    </w:p>
    <w:p w:rsidR="00895A2D" w:rsidRDefault="00895A2D" w:rsidP="00895A2D">
      <w:pPr>
        <w:pStyle w:val="BodytextIndented"/>
        <w:ind w:firstLine="567"/>
        <w:rPr>
          <w:lang w:val="id-ID"/>
        </w:rPr>
      </w:pPr>
      <w:r w:rsidRPr="001A0224">
        <w:rPr>
          <w:lang w:val="id-ID"/>
        </w:rPr>
        <w:t xml:space="preserve">Percentage and frequency tables are used to analyse </w:t>
      </w:r>
      <w:r w:rsidR="007B6C6F">
        <w:t xml:space="preserve">the </w:t>
      </w:r>
      <w:r w:rsidRPr="001A0224">
        <w:rPr>
          <w:lang w:val="id-ID"/>
        </w:rPr>
        <w:t>data. Data analysis is performed with</w:t>
      </w:r>
      <w:r>
        <w:rPr>
          <w:lang w:val="id-ID"/>
        </w:rPr>
        <w:t xml:space="preserve"> Likert Scale and</w:t>
      </w:r>
      <w:r w:rsidRPr="001A0224">
        <w:rPr>
          <w:lang w:val="id-ID"/>
        </w:rPr>
        <w:t xml:space="preserve"> IBM SPSS Statistics</w:t>
      </w:r>
      <w:r>
        <w:rPr>
          <w:lang w:val="id-ID"/>
        </w:rPr>
        <w:t xml:space="preserve">. </w:t>
      </w:r>
    </w:p>
    <w:p w:rsidR="00895A2D" w:rsidRDefault="00895A2D" w:rsidP="00895A2D">
      <w:pPr>
        <w:pStyle w:val="BodytextIndented"/>
        <w:ind w:firstLine="0"/>
        <w:rPr>
          <w:lang w:val="id-ID"/>
        </w:rPr>
      </w:pPr>
    </w:p>
    <w:p w:rsidR="00895A2D" w:rsidRDefault="00895A2D" w:rsidP="00895A2D">
      <w:pPr>
        <w:pStyle w:val="BodytextIndented"/>
        <w:numPr>
          <w:ilvl w:val="0"/>
          <w:numId w:val="2"/>
        </w:numPr>
        <w:ind w:left="284" w:hanging="284"/>
        <w:rPr>
          <w:b/>
          <w:lang w:val="id-ID"/>
        </w:rPr>
      </w:pPr>
      <w:r w:rsidRPr="007779BC">
        <w:rPr>
          <w:b/>
          <w:lang w:val="id-ID"/>
        </w:rPr>
        <w:t>Findings</w:t>
      </w:r>
    </w:p>
    <w:p w:rsidR="00CA5EC2" w:rsidRDefault="00CA5EC2" w:rsidP="00CA5EC2">
      <w:pPr>
        <w:pStyle w:val="BodytextIndented"/>
        <w:ind w:left="284" w:firstLine="0"/>
        <w:rPr>
          <w:b/>
          <w:lang w:val="id-ID"/>
        </w:rPr>
      </w:pPr>
    </w:p>
    <w:p w:rsidR="00895A2D" w:rsidRDefault="007B6C6F" w:rsidP="00895A2D">
      <w:pPr>
        <w:pStyle w:val="BodytextIndented"/>
        <w:ind w:firstLine="0"/>
        <w:rPr>
          <w:lang w:val="id-ID"/>
        </w:rPr>
      </w:pPr>
      <w:r w:rsidRPr="007B6C6F">
        <w:rPr>
          <w:lang w:val="id-ID"/>
        </w:rPr>
        <w:t>40 mathematics education students</w:t>
      </w:r>
      <w:r>
        <w:t xml:space="preserve"> </w:t>
      </w:r>
      <w:r w:rsidRPr="007B6C6F">
        <w:rPr>
          <w:lang w:val="id-ID"/>
        </w:rPr>
        <w:t xml:space="preserve">with 10% male </w:t>
      </w:r>
      <w:r>
        <w:t>or</w:t>
      </w:r>
      <w:r w:rsidRPr="007B6C6F">
        <w:rPr>
          <w:lang w:val="id-ID"/>
        </w:rPr>
        <w:t xml:space="preserve"> 4 people and 90% female </w:t>
      </w:r>
      <w:r>
        <w:t>or</w:t>
      </w:r>
      <w:r w:rsidRPr="007B6C6F">
        <w:rPr>
          <w:lang w:val="id-ID"/>
        </w:rPr>
        <w:t xml:space="preserve"> 36 people have filled out a questionnaire of interest in learning online l</w:t>
      </w:r>
      <w:r>
        <w:rPr>
          <w:lang w:val="id-ID"/>
        </w:rPr>
        <w:t>earning in syncron and asyncron</w:t>
      </w:r>
      <w:r w:rsidRPr="007B6C6F">
        <w:rPr>
          <w:lang w:val="id-ID"/>
        </w:rPr>
        <w:t xml:space="preserve">. Based on the results of a survey </w:t>
      </w:r>
      <w:r>
        <w:t xml:space="preserve">that has been </w:t>
      </w:r>
      <w:r w:rsidRPr="007B6C6F">
        <w:rPr>
          <w:lang w:val="id-ID"/>
        </w:rPr>
        <w:t>conducted, the response to online learning experiences in syncron and asyncron is shown in Figure 1 below.</w:t>
      </w:r>
    </w:p>
    <w:p w:rsidR="00895A2D" w:rsidRDefault="00895A2D" w:rsidP="00895A2D">
      <w:pPr>
        <w:pStyle w:val="BodytextIndented"/>
        <w:ind w:firstLine="0"/>
        <w:rPr>
          <w:lang w:val="id-ID"/>
        </w:rPr>
      </w:pPr>
      <w:r>
        <w:rPr>
          <w:lang w:val="id-ID"/>
        </w:rPr>
        <w:tab/>
      </w:r>
    </w:p>
    <w:p w:rsidR="00895A2D" w:rsidRPr="007779BC" w:rsidRDefault="00895A2D" w:rsidP="00895A2D">
      <w:pPr>
        <w:pStyle w:val="BodytextIndented"/>
        <w:ind w:firstLine="0"/>
        <w:jc w:val="center"/>
        <w:rPr>
          <w:lang w:val="id-ID"/>
        </w:rPr>
      </w:pPr>
      <w:r>
        <w:rPr>
          <w:noProof/>
          <w:lang w:val="id-ID" w:eastAsia="id-ID"/>
        </w:rPr>
        <w:lastRenderedPageBreak/>
        <w:drawing>
          <wp:inline distT="0" distB="0" distL="0" distR="0" wp14:anchorId="62D60245" wp14:editId="47220A00">
            <wp:extent cx="2657475" cy="1440611"/>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engalaman.JPG"/>
                    <pic:cNvPicPr/>
                  </pic:nvPicPr>
                  <pic:blipFill>
                    <a:blip r:embed="rId8">
                      <a:extLst>
                        <a:ext uri="{28A0092B-C50C-407E-A947-70E740481C1C}">
                          <a14:useLocalDpi xmlns:a14="http://schemas.microsoft.com/office/drawing/2010/main" val="0"/>
                        </a:ext>
                      </a:extLst>
                    </a:blip>
                    <a:stretch>
                      <a:fillRect/>
                    </a:stretch>
                  </pic:blipFill>
                  <pic:spPr>
                    <a:xfrm>
                      <a:off x="0" y="0"/>
                      <a:ext cx="2702266" cy="1464892"/>
                    </a:xfrm>
                    <a:prstGeom prst="rect">
                      <a:avLst/>
                    </a:prstGeom>
                  </pic:spPr>
                </pic:pic>
              </a:graphicData>
            </a:graphic>
          </wp:inline>
        </w:drawing>
      </w:r>
    </w:p>
    <w:p w:rsidR="00895A2D" w:rsidRDefault="007B6C6F" w:rsidP="007B6C6F">
      <w:pPr>
        <w:pStyle w:val="Sectionnonumber"/>
        <w:jc w:val="center"/>
        <w:rPr>
          <w:b w:val="0"/>
          <w:lang w:val="id-ID"/>
        </w:rPr>
      </w:pPr>
      <w:r w:rsidRPr="007B6C6F">
        <w:rPr>
          <w:b w:val="0"/>
          <w:lang w:val="id-ID"/>
        </w:rPr>
        <w:t>Figure 1. Synchronous and Asynchronous Online Learning Experience</w:t>
      </w:r>
    </w:p>
    <w:p w:rsidR="00895A2D" w:rsidRDefault="007B6C6F" w:rsidP="00895A2D">
      <w:pPr>
        <w:pStyle w:val="Bodytext"/>
        <w:ind w:firstLine="567"/>
        <w:rPr>
          <w:lang w:val="id-ID"/>
        </w:rPr>
      </w:pPr>
      <w:r w:rsidRPr="007B6C6F">
        <w:rPr>
          <w:lang w:val="id-ID"/>
        </w:rPr>
        <w:t>Meanwhile, the comparison of students' interest in learning to online learning in syncron and asyncro</w:t>
      </w:r>
      <w:r>
        <w:rPr>
          <w:lang w:val="id-ID"/>
        </w:rPr>
        <w:t>n can be seen in Figure 2 below</w:t>
      </w:r>
      <w:r w:rsidR="00895A2D">
        <w:rPr>
          <w:lang w:val="id-ID"/>
        </w:rPr>
        <w:t xml:space="preserve">. </w:t>
      </w:r>
    </w:p>
    <w:p w:rsidR="00895A2D" w:rsidRPr="00596677" w:rsidRDefault="00895A2D" w:rsidP="00895A2D">
      <w:pPr>
        <w:pStyle w:val="BodytextIndented"/>
        <w:tabs>
          <w:tab w:val="left" w:pos="567"/>
        </w:tabs>
        <w:ind w:firstLine="0"/>
        <w:jc w:val="center"/>
        <w:rPr>
          <w:lang w:val="id-ID"/>
        </w:rPr>
      </w:pPr>
      <w:r>
        <w:rPr>
          <w:noProof/>
          <w:lang w:val="id-ID" w:eastAsia="id-ID"/>
        </w:rPr>
        <w:drawing>
          <wp:inline distT="0" distB="0" distL="0" distR="0" wp14:anchorId="7FE68247" wp14:editId="4920EDA8">
            <wp:extent cx="2376395" cy="1285240"/>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inat.JPG"/>
                    <pic:cNvPicPr/>
                  </pic:nvPicPr>
                  <pic:blipFill>
                    <a:blip r:embed="rId9">
                      <a:extLst>
                        <a:ext uri="{28A0092B-C50C-407E-A947-70E740481C1C}">
                          <a14:useLocalDpi xmlns:a14="http://schemas.microsoft.com/office/drawing/2010/main" val="0"/>
                        </a:ext>
                      </a:extLst>
                    </a:blip>
                    <a:stretch>
                      <a:fillRect/>
                    </a:stretch>
                  </pic:blipFill>
                  <pic:spPr>
                    <a:xfrm>
                      <a:off x="0" y="0"/>
                      <a:ext cx="2402807" cy="1299524"/>
                    </a:xfrm>
                    <a:prstGeom prst="rect">
                      <a:avLst/>
                    </a:prstGeom>
                  </pic:spPr>
                </pic:pic>
              </a:graphicData>
            </a:graphic>
          </wp:inline>
        </w:drawing>
      </w:r>
    </w:p>
    <w:p w:rsidR="00895A2D" w:rsidRDefault="007B6C6F" w:rsidP="00895A2D">
      <w:pPr>
        <w:pStyle w:val="Sectionnonumber"/>
        <w:jc w:val="center"/>
        <w:rPr>
          <w:b w:val="0"/>
          <w:lang w:val="id-ID"/>
        </w:rPr>
      </w:pPr>
      <w:r w:rsidRPr="007B6C6F">
        <w:rPr>
          <w:b w:val="0"/>
          <w:lang w:val="id-ID"/>
        </w:rPr>
        <w:t>Figure 2. Synchronous and Asynchronous Online Learning Interest</w:t>
      </w:r>
    </w:p>
    <w:p w:rsidR="007B6C6F" w:rsidRPr="007B6C6F" w:rsidRDefault="007B6C6F" w:rsidP="007B6C6F">
      <w:pPr>
        <w:pStyle w:val="Bodytext"/>
        <w:rPr>
          <w:lang w:val="id-ID"/>
        </w:rPr>
      </w:pPr>
    </w:p>
    <w:p w:rsidR="00895A2D" w:rsidRDefault="007B6C6F" w:rsidP="00895A2D">
      <w:pPr>
        <w:pStyle w:val="BodytextIndented"/>
        <w:ind w:firstLine="567"/>
        <w:rPr>
          <w:lang w:val="id-ID"/>
        </w:rPr>
      </w:pPr>
      <w:r w:rsidRPr="007B6C6F">
        <w:rPr>
          <w:lang w:val="id-ID"/>
        </w:rPr>
        <w:t xml:space="preserve">Furthermore, each student response in syncron and asyncron </w:t>
      </w:r>
      <w:r>
        <w:t>is</w:t>
      </w:r>
      <w:r w:rsidRPr="007B6C6F">
        <w:rPr>
          <w:lang w:val="id-ID"/>
        </w:rPr>
        <w:t xml:space="preserve"> analyzed by calculating the Likert scale and IBM SPSS 22 to see the categories of student learning interest and differences in student online learning interest between syncron and asyncron</w:t>
      </w:r>
      <w:r>
        <w:t>,</w:t>
      </w:r>
      <w:r w:rsidRPr="007B6C6F">
        <w:rPr>
          <w:lang w:val="id-ID"/>
        </w:rPr>
        <w:t xml:space="preserve"> which can be seen in the table below.</w:t>
      </w:r>
    </w:p>
    <w:p w:rsidR="007B6C6F" w:rsidRDefault="007B6C6F" w:rsidP="00895A2D">
      <w:pPr>
        <w:pStyle w:val="BodytextIndented"/>
        <w:ind w:firstLine="567"/>
        <w:rPr>
          <w:lang w:val="id-ID"/>
        </w:rPr>
      </w:pPr>
    </w:p>
    <w:p w:rsidR="00895A2D" w:rsidRPr="00D13D45" w:rsidRDefault="00895A2D" w:rsidP="00895A2D">
      <w:pPr>
        <w:pStyle w:val="subsection0"/>
        <w:numPr>
          <w:ilvl w:val="0"/>
          <w:numId w:val="0"/>
        </w:numPr>
        <w:spacing w:before="0" w:after="120"/>
        <w:jc w:val="center"/>
        <w:rPr>
          <w:rFonts w:ascii="Times New Roman" w:hAnsi="Times New Roman"/>
          <w:b/>
          <w:i w:val="0"/>
        </w:rPr>
      </w:pPr>
      <w:r w:rsidRPr="008C58CF">
        <w:rPr>
          <w:rFonts w:ascii="Times New Roman" w:hAnsi="Times New Roman"/>
          <w:i w:val="0"/>
          <w:lang w:val="id-ID"/>
        </w:rPr>
        <w:t>Tab</w:t>
      </w:r>
      <w:r w:rsidRPr="008C58CF">
        <w:rPr>
          <w:rFonts w:ascii="Times New Roman" w:hAnsi="Times New Roman"/>
          <w:i w:val="0"/>
        </w:rPr>
        <w:t>le</w:t>
      </w:r>
      <w:r w:rsidRPr="008C58CF">
        <w:rPr>
          <w:rFonts w:ascii="Times New Roman" w:hAnsi="Times New Roman"/>
          <w:i w:val="0"/>
          <w:lang w:val="id-ID"/>
        </w:rPr>
        <w:t xml:space="preserve"> 1</w:t>
      </w:r>
      <w:r>
        <w:rPr>
          <w:rFonts w:ascii="Times New Roman" w:hAnsi="Times New Roman"/>
          <w:b/>
          <w:i w:val="0"/>
          <w:lang w:val="id-ID"/>
        </w:rPr>
        <w:t>.</w:t>
      </w:r>
      <w:r w:rsidRPr="00D13D45">
        <w:rPr>
          <w:rFonts w:ascii="Times New Roman" w:hAnsi="Times New Roman"/>
          <w:b/>
          <w:i w:val="0"/>
          <w:lang w:val="id-ID"/>
        </w:rPr>
        <w:t xml:space="preserve"> </w:t>
      </w:r>
      <w:r w:rsidRPr="00C20344">
        <w:rPr>
          <w:rFonts w:ascii="Times New Roman" w:hAnsi="Times New Roman"/>
          <w:i w:val="0"/>
        </w:rPr>
        <w:t>Mathematic</w:t>
      </w:r>
      <w:r>
        <w:rPr>
          <w:rFonts w:ascii="Times New Roman" w:hAnsi="Times New Roman"/>
          <w:i w:val="0"/>
        </w:rPr>
        <w:t xml:space="preserve">s Education Students Interest </w:t>
      </w:r>
      <w:r w:rsidRPr="00C20344">
        <w:rPr>
          <w:rFonts w:ascii="Times New Roman" w:hAnsi="Times New Roman"/>
          <w:i w:val="0"/>
        </w:rPr>
        <w:t>Level</w:t>
      </w:r>
    </w:p>
    <w:tbl>
      <w:tblPr>
        <w:tblStyle w:val="TableGrid"/>
        <w:tblW w:w="0" w:type="auto"/>
        <w:tblLook w:val="04A0" w:firstRow="1" w:lastRow="0" w:firstColumn="1" w:lastColumn="0" w:noHBand="0" w:noVBand="1"/>
      </w:tblPr>
      <w:tblGrid>
        <w:gridCol w:w="2444"/>
        <w:gridCol w:w="2443"/>
        <w:gridCol w:w="2087"/>
        <w:gridCol w:w="2087"/>
      </w:tblGrid>
      <w:tr w:rsidR="00895A2D" w:rsidRPr="00D13D45" w:rsidTr="00284355">
        <w:tc>
          <w:tcPr>
            <w:tcW w:w="2444" w:type="dxa"/>
            <w:tcBorders>
              <w:top w:val="single" w:sz="4" w:space="0" w:color="auto"/>
              <w:left w:val="nil"/>
              <w:bottom w:val="single" w:sz="4" w:space="0" w:color="auto"/>
              <w:right w:val="nil"/>
            </w:tcBorders>
          </w:tcPr>
          <w:p w:rsidR="00895A2D" w:rsidRPr="00C20344" w:rsidRDefault="00895A2D" w:rsidP="00284355">
            <w:pPr>
              <w:pStyle w:val="subsection0"/>
              <w:numPr>
                <w:ilvl w:val="0"/>
                <w:numId w:val="0"/>
              </w:numPr>
              <w:spacing w:before="0" w:after="120"/>
              <w:rPr>
                <w:rFonts w:ascii="Times New Roman" w:hAnsi="Times New Roman"/>
                <w:i w:val="0"/>
                <w:lang w:val="id-ID"/>
              </w:rPr>
            </w:pPr>
          </w:p>
        </w:tc>
        <w:tc>
          <w:tcPr>
            <w:tcW w:w="2443" w:type="dxa"/>
            <w:tcBorders>
              <w:top w:val="single" w:sz="4" w:space="0" w:color="auto"/>
              <w:left w:val="nil"/>
              <w:bottom w:val="single" w:sz="4" w:space="0" w:color="auto"/>
              <w:right w:val="nil"/>
            </w:tcBorders>
          </w:tcPr>
          <w:p w:rsidR="00895A2D" w:rsidRPr="00C20344" w:rsidRDefault="00895A2D" w:rsidP="00284355">
            <w:pPr>
              <w:pStyle w:val="subsection0"/>
              <w:numPr>
                <w:ilvl w:val="0"/>
                <w:numId w:val="0"/>
              </w:numPr>
              <w:spacing w:before="0" w:after="120"/>
              <w:jc w:val="center"/>
              <w:rPr>
                <w:rFonts w:ascii="Times New Roman" w:hAnsi="Times New Roman"/>
                <w:i w:val="0"/>
                <w:lang w:val="id-ID"/>
              </w:rPr>
            </w:pPr>
            <w:r w:rsidRPr="00C20344">
              <w:rPr>
                <w:rFonts w:ascii="Times New Roman" w:hAnsi="Times New Roman"/>
                <w:i w:val="0"/>
                <w:lang w:val="id-ID"/>
              </w:rPr>
              <w:t>Group</w:t>
            </w:r>
          </w:p>
        </w:tc>
        <w:tc>
          <w:tcPr>
            <w:tcW w:w="2087" w:type="dxa"/>
            <w:tcBorders>
              <w:top w:val="single" w:sz="4" w:space="0" w:color="auto"/>
              <w:left w:val="nil"/>
              <w:bottom w:val="single" w:sz="4" w:space="0" w:color="auto"/>
              <w:right w:val="nil"/>
            </w:tcBorders>
          </w:tcPr>
          <w:p w:rsidR="00895A2D" w:rsidRPr="00C20344" w:rsidRDefault="00895A2D" w:rsidP="00284355">
            <w:pPr>
              <w:pStyle w:val="subsection0"/>
              <w:numPr>
                <w:ilvl w:val="0"/>
                <w:numId w:val="0"/>
              </w:numPr>
              <w:spacing w:before="0" w:after="120"/>
              <w:rPr>
                <w:rFonts w:ascii="Times New Roman" w:hAnsi="Times New Roman"/>
                <w:i w:val="0"/>
                <w:lang w:val="id-ID"/>
              </w:rPr>
            </w:pPr>
            <w:r w:rsidRPr="00C20344">
              <w:rPr>
                <w:rFonts w:ascii="Times New Roman" w:hAnsi="Times New Roman"/>
                <w:i w:val="0"/>
                <w:lang w:val="id-ID"/>
              </w:rPr>
              <w:t>Categorize</w:t>
            </w:r>
          </w:p>
        </w:tc>
        <w:tc>
          <w:tcPr>
            <w:tcW w:w="2087" w:type="dxa"/>
            <w:tcBorders>
              <w:top w:val="single" w:sz="4" w:space="0" w:color="auto"/>
              <w:left w:val="nil"/>
              <w:bottom w:val="single" w:sz="4" w:space="0" w:color="auto"/>
              <w:right w:val="nil"/>
            </w:tcBorders>
          </w:tcPr>
          <w:p w:rsidR="00895A2D" w:rsidRPr="00C20344" w:rsidRDefault="00895A2D" w:rsidP="00284355">
            <w:pPr>
              <w:pStyle w:val="subsection0"/>
              <w:numPr>
                <w:ilvl w:val="0"/>
                <w:numId w:val="0"/>
              </w:numPr>
              <w:spacing w:before="0" w:after="120"/>
              <w:rPr>
                <w:rFonts w:ascii="Times New Roman" w:hAnsi="Times New Roman"/>
                <w:i w:val="0"/>
                <w:lang w:val="id-ID"/>
              </w:rPr>
            </w:pPr>
            <w:r w:rsidRPr="00C20344">
              <w:rPr>
                <w:rFonts w:ascii="Times New Roman" w:hAnsi="Times New Roman"/>
                <w:i w:val="0"/>
                <w:lang w:val="id-ID"/>
              </w:rPr>
              <w:t>%</w:t>
            </w:r>
          </w:p>
        </w:tc>
      </w:tr>
      <w:tr w:rsidR="00895A2D" w:rsidRPr="00D13D45" w:rsidTr="00284355">
        <w:tc>
          <w:tcPr>
            <w:tcW w:w="2444" w:type="dxa"/>
            <w:vMerge w:val="restart"/>
            <w:tcBorders>
              <w:top w:val="single" w:sz="4" w:space="0" w:color="auto"/>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p w:rsidR="00895A2D" w:rsidRPr="00C20344" w:rsidRDefault="00895A2D" w:rsidP="00284355">
            <w:pPr>
              <w:pStyle w:val="subsection0"/>
              <w:numPr>
                <w:ilvl w:val="0"/>
                <w:numId w:val="0"/>
              </w:numPr>
              <w:spacing w:before="0"/>
              <w:rPr>
                <w:rFonts w:ascii="Times New Roman" w:hAnsi="Times New Roman"/>
                <w:i w:val="0"/>
                <w:lang w:val="id-ID"/>
              </w:rPr>
            </w:pPr>
          </w:p>
          <w:p w:rsidR="00895A2D" w:rsidRPr="00C20344" w:rsidRDefault="00895A2D" w:rsidP="00284355">
            <w:pPr>
              <w:pStyle w:val="subsection0"/>
              <w:numPr>
                <w:ilvl w:val="0"/>
                <w:numId w:val="0"/>
              </w:numPr>
              <w:spacing w:before="0"/>
              <w:rPr>
                <w:rFonts w:ascii="Times New Roman" w:hAnsi="Times New Roman"/>
                <w:i w:val="0"/>
                <w:lang w:val="id-ID"/>
              </w:rPr>
            </w:pPr>
            <w:r>
              <w:rPr>
                <w:rFonts w:ascii="Times New Roman" w:hAnsi="Times New Roman"/>
                <w:i w:val="0"/>
                <w:lang w:val="id-ID"/>
              </w:rPr>
              <w:t>Students Interest</w:t>
            </w:r>
          </w:p>
        </w:tc>
        <w:tc>
          <w:tcPr>
            <w:tcW w:w="2443" w:type="dxa"/>
            <w:vMerge w:val="restart"/>
            <w:tcBorders>
              <w:top w:val="single" w:sz="4" w:space="0" w:color="auto"/>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rPr>
            </w:pPr>
            <w:r w:rsidRPr="00C20344">
              <w:rPr>
                <w:rFonts w:ascii="Times New Roman" w:hAnsi="Times New Roman"/>
                <w:i w:val="0"/>
                <w:lang w:val="id-ID"/>
              </w:rPr>
              <w:t xml:space="preserve"> </w:t>
            </w:r>
            <w:r>
              <w:rPr>
                <w:rFonts w:ascii="Times New Roman" w:hAnsi="Times New Roman"/>
                <w:i w:val="0"/>
                <w:lang w:val="id-ID"/>
              </w:rPr>
              <w:t>Syncronous</w:t>
            </w:r>
          </w:p>
        </w:tc>
        <w:tc>
          <w:tcPr>
            <w:tcW w:w="2087" w:type="dxa"/>
            <w:tcBorders>
              <w:top w:val="single" w:sz="4" w:space="0" w:color="auto"/>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rPr>
            </w:pPr>
            <w:r w:rsidRPr="00C20344">
              <w:rPr>
                <w:rFonts w:ascii="Times New Roman" w:hAnsi="Times New Roman"/>
                <w:i w:val="0"/>
              </w:rPr>
              <w:t>High</w:t>
            </w:r>
          </w:p>
        </w:tc>
        <w:tc>
          <w:tcPr>
            <w:tcW w:w="2087" w:type="dxa"/>
            <w:tcBorders>
              <w:top w:val="single" w:sz="4" w:space="0" w:color="auto"/>
              <w:left w:val="nil"/>
              <w:bottom w:val="nil"/>
              <w:right w:val="nil"/>
            </w:tcBorders>
          </w:tcPr>
          <w:p w:rsidR="00895A2D" w:rsidRPr="00C20344" w:rsidRDefault="00C72BCE" w:rsidP="00284355">
            <w:pPr>
              <w:pStyle w:val="subsection0"/>
              <w:numPr>
                <w:ilvl w:val="0"/>
                <w:numId w:val="0"/>
              </w:numPr>
              <w:spacing w:before="0"/>
              <w:rPr>
                <w:rFonts w:ascii="Times New Roman" w:hAnsi="Times New Roman"/>
                <w:i w:val="0"/>
                <w:lang w:val="id-ID"/>
              </w:rPr>
            </w:pPr>
            <w:r>
              <w:rPr>
                <w:rFonts w:ascii="Times New Roman" w:hAnsi="Times New Roman"/>
                <w:i w:val="0"/>
                <w:lang w:val="id-ID"/>
              </w:rPr>
              <w:t>36.36</w:t>
            </w:r>
            <w:r w:rsidR="00895A2D" w:rsidRPr="00C20344">
              <w:rPr>
                <w:rFonts w:ascii="Times New Roman" w:hAnsi="Times New Roman"/>
                <w:i w:val="0"/>
                <w:lang w:val="id-ID"/>
              </w:rPr>
              <w:t xml:space="preserve"> %</w:t>
            </w:r>
          </w:p>
        </w:tc>
      </w:tr>
      <w:tr w:rsidR="00895A2D" w:rsidRPr="00D13D45" w:rsidTr="00284355">
        <w:tc>
          <w:tcPr>
            <w:tcW w:w="2444" w:type="dxa"/>
            <w:vMerge/>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tc>
        <w:tc>
          <w:tcPr>
            <w:tcW w:w="2443" w:type="dxa"/>
            <w:vMerge/>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tc>
        <w:tc>
          <w:tcPr>
            <w:tcW w:w="2087" w:type="dxa"/>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rPr>
            </w:pPr>
            <w:r w:rsidRPr="00C20344">
              <w:rPr>
                <w:rFonts w:ascii="Times New Roman" w:hAnsi="Times New Roman"/>
                <w:i w:val="0"/>
              </w:rPr>
              <w:t>Moderate</w:t>
            </w:r>
          </w:p>
        </w:tc>
        <w:tc>
          <w:tcPr>
            <w:tcW w:w="2087" w:type="dxa"/>
            <w:tcBorders>
              <w:top w:val="nil"/>
              <w:left w:val="nil"/>
              <w:bottom w:val="nil"/>
              <w:right w:val="nil"/>
            </w:tcBorders>
          </w:tcPr>
          <w:p w:rsidR="00895A2D" w:rsidRPr="00C20344" w:rsidRDefault="00C72BCE" w:rsidP="00284355">
            <w:pPr>
              <w:pStyle w:val="subsection0"/>
              <w:numPr>
                <w:ilvl w:val="0"/>
                <w:numId w:val="0"/>
              </w:numPr>
              <w:spacing w:before="0"/>
              <w:rPr>
                <w:rFonts w:ascii="Times New Roman" w:hAnsi="Times New Roman"/>
                <w:i w:val="0"/>
                <w:lang w:val="id-ID"/>
              </w:rPr>
            </w:pPr>
            <w:r>
              <w:rPr>
                <w:rFonts w:ascii="Times New Roman" w:hAnsi="Times New Roman"/>
                <w:i w:val="0"/>
                <w:lang w:val="id-ID"/>
              </w:rPr>
              <w:t>63.64</w:t>
            </w:r>
            <w:r w:rsidR="00895A2D" w:rsidRPr="00C20344">
              <w:rPr>
                <w:rFonts w:ascii="Times New Roman" w:hAnsi="Times New Roman"/>
                <w:i w:val="0"/>
                <w:lang w:val="id-ID"/>
              </w:rPr>
              <w:t>%</w:t>
            </w:r>
          </w:p>
        </w:tc>
      </w:tr>
      <w:tr w:rsidR="00895A2D" w:rsidRPr="00D13D45" w:rsidTr="00284355">
        <w:tc>
          <w:tcPr>
            <w:tcW w:w="2444" w:type="dxa"/>
            <w:vMerge/>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tc>
        <w:tc>
          <w:tcPr>
            <w:tcW w:w="2443" w:type="dxa"/>
            <w:vMerge/>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tc>
        <w:tc>
          <w:tcPr>
            <w:tcW w:w="2087" w:type="dxa"/>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rPr>
            </w:pPr>
            <w:r w:rsidRPr="00C20344">
              <w:rPr>
                <w:rFonts w:ascii="Times New Roman" w:hAnsi="Times New Roman"/>
                <w:i w:val="0"/>
              </w:rPr>
              <w:t>Low</w:t>
            </w:r>
          </w:p>
        </w:tc>
        <w:tc>
          <w:tcPr>
            <w:tcW w:w="2087" w:type="dxa"/>
            <w:tcBorders>
              <w:top w:val="nil"/>
              <w:left w:val="nil"/>
              <w:bottom w:val="nil"/>
              <w:right w:val="nil"/>
            </w:tcBorders>
          </w:tcPr>
          <w:p w:rsidR="00895A2D" w:rsidRPr="00C20344" w:rsidRDefault="00C72BCE" w:rsidP="00284355">
            <w:pPr>
              <w:pStyle w:val="subsection0"/>
              <w:numPr>
                <w:ilvl w:val="0"/>
                <w:numId w:val="0"/>
              </w:numPr>
              <w:spacing w:before="0"/>
              <w:rPr>
                <w:rFonts w:ascii="Times New Roman" w:hAnsi="Times New Roman"/>
                <w:i w:val="0"/>
                <w:lang w:val="id-ID"/>
              </w:rPr>
            </w:pPr>
            <w:r>
              <w:rPr>
                <w:rFonts w:ascii="Times New Roman" w:hAnsi="Times New Roman"/>
                <w:i w:val="0"/>
                <w:lang w:val="id-ID"/>
              </w:rPr>
              <w:t>0</w:t>
            </w:r>
            <w:r w:rsidR="00895A2D" w:rsidRPr="00C20344">
              <w:rPr>
                <w:rFonts w:ascii="Times New Roman" w:hAnsi="Times New Roman"/>
                <w:i w:val="0"/>
                <w:lang w:val="id-ID"/>
              </w:rPr>
              <w:t>%</w:t>
            </w:r>
          </w:p>
        </w:tc>
      </w:tr>
      <w:tr w:rsidR="00895A2D" w:rsidRPr="00D13D45" w:rsidTr="00284355">
        <w:tc>
          <w:tcPr>
            <w:tcW w:w="2444" w:type="dxa"/>
            <w:vMerge/>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tc>
        <w:tc>
          <w:tcPr>
            <w:tcW w:w="2443" w:type="dxa"/>
            <w:vMerge w:val="restart"/>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rPr>
            </w:pPr>
            <w:r>
              <w:rPr>
                <w:rFonts w:ascii="Times New Roman" w:hAnsi="Times New Roman"/>
                <w:i w:val="0"/>
                <w:lang w:val="id-ID"/>
              </w:rPr>
              <w:t xml:space="preserve"> Asyncronus</w:t>
            </w:r>
          </w:p>
        </w:tc>
        <w:tc>
          <w:tcPr>
            <w:tcW w:w="2087" w:type="dxa"/>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rPr>
            </w:pPr>
            <w:r w:rsidRPr="00C20344">
              <w:rPr>
                <w:rFonts w:ascii="Times New Roman" w:hAnsi="Times New Roman"/>
                <w:i w:val="0"/>
              </w:rPr>
              <w:t>High</w:t>
            </w:r>
          </w:p>
        </w:tc>
        <w:tc>
          <w:tcPr>
            <w:tcW w:w="2087" w:type="dxa"/>
            <w:tcBorders>
              <w:top w:val="nil"/>
              <w:left w:val="nil"/>
              <w:bottom w:val="nil"/>
              <w:right w:val="nil"/>
            </w:tcBorders>
          </w:tcPr>
          <w:p w:rsidR="00895A2D" w:rsidRPr="00C20344" w:rsidRDefault="00A523C0" w:rsidP="00284355">
            <w:pPr>
              <w:pStyle w:val="subsection0"/>
              <w:numPr>
                <w:ilvl w:val="0"/>
                <w:numId w:val="0"/>
              </w:numPr>
              <w:spacing w:before="0"/>
              <w:rPr>
                <w:rFonts w:ascii="Times New Roman" w:hAnsi="Times New Roman"/>
                <w:i w:val="0"/>
                <w:lang w:val="id-ID"/>
              </w:rPr>
            </w:pPr>
            <w:r>
              <w:rPr>
                <w:rFonts w:ascii="Times New Roman" w:hAnsi="Times New Roman"/>
                <w:i w:val="0"/>
                <w:lang w:val="id-ID"/>
              </w:rPr>
              <w:t>5.88</w:t>
            </w:r>
            <w:r w:rsidR="00895A2D" w:rsidRPr="00C20344">
              <w:rPr>
                <w:rFonts w:ascii="Times New Roman" w:hAnsi="Times New Roman"/>
                <w:i w:val="0"/>
                <w:lang w:val="id-ID"/>
              </w:rPr>
              <w:t>%</w:t>
            </w:r>
          </w:p>
        </w:tc>
      </w:tr>
      <w:tr w:rsidR="00895A2D" w:rsidRPr="00D13D45" w:rsidTr="00284355">
        <w:tc>
          <w:tcPr>
            <w:tcW w:w="2444" w:type="dxa"/>
            <w:vMerge/>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tc>
        <w:tc>
          <w:tcPr>
            <w:tcW w:w="2443" w:type="dxa"/>
            <w:vMerge/>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tc>
        <w:tc>
          <w:tcPr>
            <w:tcW w:w="2087" w:type="dxa"/>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rPr>
            </w:pPr>
            <w:r w:rsidRPr="00C20344">
              <w:rPr>
                <w:rFonts w:ascii="Times New Roman" w:hAnsi="Times New Roman"/>
                <w:i w:val="0"/>
              </w:rPr>
              <w:t>Moderate</w:t>
            </w:r>
          </w:p>
        </w:tc>
        <w:tc>
          <w:tcPr>
            <w:tcW w:w="2087" w:type="dxa"/>
            <w:tcBorders>
              <w:top w:val="nil"/>
              <w:left w:val="nil"/>
              <w:bottom w:val="nil"/>
              <w:right w:val="nil"/>
            </w:tcBorders>
          </w:tcPr>
          <w:p w:rsidR="00895A2D" w:rsidRPr="00C20344" w:rsidRDefault="00A523C0" w:rsidP="00284355">
            <w:pPr>
              <w:pStyle w:val="subsection0"/>
              <w:numPr>
                <w:ilvl w:val="0"/>
                <w:numId w:val="0"/>
              </w:numPr>
              <w:spacing w:before="0"/>
              <w:rPr>
                <w:rFonts w:ascii="Times New Roman" w:hAnsi="Times New Roman"/>
                <w:i w:val="0"/>
                <w:lang w:val="id-ID"/>
              </w:rPr>
            </w:pPr>
            <w:r>
              <w:rPr>
                <w:rFonts w:ascii="Times New Roman" w:hAnsi="Times New Roman"/>
                <w:i w:val="0"/>
                <w:lang w:val="id-ID"/>
              </w:rPr>
              <w:t>58.82</w:t>
            </w:r>
            <w:r w:rsidR="00895A2D" w:rsidRPr="00C20344">
              <w:rPr>
                <w:rFonts w:ascii="Times New Roman" w:hAnsi="Times New Roman"/>
                <w:i w:val="0"/>
                <w:lang w:val="id-ID"/>
              </w:rPr>
              <w:t>%</w:t>
            </w:r>
          </w:p>
        </w:tc>
      </w:tr>
      <w:tr w:rsidR="00895A2D" w:rsidRPr="00D13D45" w:rsidTr="00284355">
        <w:tc>
          <w:tcPr>
            <w:tcW w:w="2444" w:type="dxa"/>
            <w:vMerge/>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tc>
        <w:tc>
          <w:tcPr>
            <w:tcW w:w="2443" w:type="dxa"/>
            <w:vMerge/>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lang w:val="id-ID"/>
              </w:rPr>
            </w:pPr>
          </w:p>
        </w:tc>
        <w:tc>
          <w:tcPr>
            <w:tcW w:w="2087" w:type="dxa"/>
            <w:tcBorders>
              <w:top w:val="nil"/>
              <w:left w:val="nil"/>
              <w:bottom w:val="nil"/>
              <w:right w:val="nil"/>
            </w:tcBorders>
          </w:tcPr>
          <w:p w:rsidR="00895A2D" w:rsidRPr="00C20344" w:rsidRDefault="00895A2D" w:rsidP="00284355">
            <w:pPr>
              <w:pStyle w:val="subsection0"/>
              <w:numPr>
                <w:ilvl w:val="0"/>
                <w:numId w:val="0"/>
              </w:numPr>
              <w:spacing w:before="0"/>
              <w:rPr>
                <w:rFonts w:ascii="Times New Roman" w:hAnsi="Times New Roman"/>
                <w:i w:val="0"/>
              </w:rPr>
            </w:pPr>
            <w:r w:rsidRPr="00C20344">
              <w:rPr>
                <w:rFonts w:ascii="Times New Roman" w:hAnsi="Times New Roman"/>
                <w:i w:val="0"/>
              </w:rPr>
              <w:t>Low</w:t>
            </w:r>
          </w:p>
        </w:tc>
        <w:tc>
          <w:tcPr>
            <w:tcW w:w="2087" w:type="dxa"/>
            <w:tcBorders>
              <w:top w:val="nil"/>
              <w:left w:val="nil"/>
              <w:bottom w:val="nil"/>
              <w:right w:val="nil"/>
            </w:tcBorders>
          </w:tcPr>
          <w:p w:rsidR="00895A2D" w:rsidRPr="00C20344" w:rsidRDefault="00A523C0" w:rsidP="00284355">
            <w:pPr>
              <w:pStyle w:val="subsection0"/>
              <w:numPr>
                <w:ilvl w:val="0"/>
                <w:numId w:val="0"/>
              </w:numPr>
              <w:spacing w:before="0"/>
              <w:rPr>
                <w:rFonts w:ascii="Times New Roman" w:hAnsi="Times New Roman"/>
                <w:i w:val="0"/>
                <w:lang w:val="id-ID"/>
              </w:rPr>
            </w:pPr>
            <w:r>
              <w:rPr>
                <w:rFonts w:ascii="Times New Roman" w:hAnsi="Times New Roman"/>
                <w:i w:val="0"/>
                <w:lang w:val="id-ID"/>
              </w:rPr>
              <w:t>41.18</w:t>
            </w:r>
            <w:r w:rsidR="00895A2D" w:rsidRPr="00C20344">
              <w:rPr>
                <w:rFonts w:ascii="Times New Roman" w:hAnsi="Times New Roman"/>
                <w:i w:val="0"/>
                <w:lang w:val="id-ID"/>
              </w:rPr>
              <w:t>%</w:t>
            </w:r>
          </w:p>
        </w:tc>
      </w:tr>
    </w:tbl>
    <w:p w:rsidR="00895A2D" w:rsidRPr="00305A80" w:rsidRDefault="00895A2D" w:rsidP="00895A2D">
      <w:pPr>
        <w:pStyle w:val="subsection0"/>
        <w:numPr>
          <w:ilvl w:val="0"/>
          <w:numId w:val="0"/>
        </w:numPr>
        <w:spacing w:before="0" w:after="120"/>
        <w:jc w:val="center"/>
        <w:rPr>
          <w:rFonts w:ascii="Times New Roman" w:hAnsi="Times New Roman"/>
          <w:b/>
          <w:i w:val="0"/>
          <w:lang w:val="id-ID"/>
        </w:rPr>
      </w:pPr>
      <w:r w:rsidRPr="008C58CF">
        <w:rPr>
          <w:rFonts w:ascii="Times New Roman" w:hAnsi="Times New Roman"/>
          <w:i w:val="0"/>
          <w:lang w:val="id-ID"/>
        </w:rPr>
        <w:t>Tab</w:t>
      </w:r>
      <w:r w:rsidRPr="008C58CF">
        <w:rPr>
          <w:rFonts w:ascii="Times New Roman" w:hAnsi="Times New Roman"/>
          <w:i w:val="0"/>
        </w:rPr>
        <w:t>le</w:t>
      </w:r>
      <w:r>
        <w:rPr>
          <w:rFonts w:ascii="Times New Roman" w:hAnsi="Times New Roman"/>
          <w:i w:val="0"/>
          <w:lang w:val="id-ID"/>
        </w:rPr>
        <w:t xml:space="preserve"> 2</w:t>
      </w:r>
      <w:r>
        <w:rPr>
          <w:rFonts w:ascii="Times New Roman" w:hAnsi="Times New Roman"/>
          <w:b/>
          <w:i w:val="0"/>
          <w:lang w:val="id-ID"/>
        </w:rPr>
        <w:t xml:space="preserve">. </w:t>
      </w:r>
      <w:r>
        <w:rPr>
          <w:rFonts w:ascii="Times New Roman" w:hAnsi="Times New Roman"/>
          <w:i w:val="0"/>
          <w:lang w:val="id-ID"/>
        </w:rPr>
        <w:t xml:space="preserve">Statictics Descriptive Syncronous and Asyncronous Students’ Interest </w:t>
      </w:r>
    </w:p>
    <w:tbl>
      <w:tblPr>
        <w:tblStyle w:val="TableGrid"/>
        <w:tblW w:w="0" w:type="auto"/>
        <w:tblInd w:w="2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2"/>
        <w:gridCol w:w="1372"/>
        <w:gridCol w:w="1256"/>
      </w:tblGrid>
      <w:tr w:rsidR="00895A2D" w:rsidRPr="00D13D45" w:rsidTr="00284355">
        <w:trPr>
          <w:tblHeader/>
        </w:trPr>
        <w:tc>
          <w:tcPr>
            <w:tcW w:w="0" w:type="auto"/>
            <w:gridSpan w:val="2"/>
            <w:tcBorders>
              <w:top w:val="single" w:sz="4" w:space="0" w:color="auto"/>
              <w:bottom w:val="single" w:sz="4" w:space="0" w:color="auto"/>
            </w:tcBorders>
            <w:vAlign w:val="center"/>
          </w:tcPr>
          <w:p w:rsidR="00895A2D" w:rsidRPr="00D13D45" w:rsidRDefault="00895A2D" w:rsidP="00284355">
            <w:pPr>
              <w:pStyle w:val="ListParagraph"/>
              <w:spacing w:after="0" w:line="240" w:lineRule="auto"/>
              <w:ind w:left="0"/>
              <w:jc w:val="center"/>
              <w:rPr>
                <w:rFonts w:ascii="Times New Roman" w:hAnsi="Times New Roman" w:cs="Times New Roman"/>
                <w:b/>
                <w:bCs/>
              </w:rPr>
            </w:pPr>
          </w:p>
        </w:tc>
        <w:tc>
          <w:tcPr>
            <w:tcW w:w="1256" w:type="dxa"/>
            <w:tcBorders>
              <w:top w:val="single" w:sz="4" w:space="0" w:color="auto"/>
              <w:bottom w:val="single" w:sz="4" w:space="0" w:color="auto"/>
            </w:tcBorders>
            <w:vAlign w:val="center"/>
          </w:tcPr>
          <w:p w:rsidR="00895A2D" w:rsidRPr="00D13D45" w:rsidRDefault="00895A2D" w:rsidP="00284355">
            <w:pPr>
              <w:pStyle w:val="ListParagraph"/>
              <w:spacing w:after="0" w:line="240" w:lineRule="auto"/>
              <w:ind w:left="0"/>
              <w:jc w:val="center"/>
              <w:rPr>
                <w:rFonts w:ascii="Times New Roman" w:hAnsi="Times New Roman" w:cs="Times New Roman"/>
                <w:b/>
                <w:bCs/>
              </w:rPr>
            </w:pPr>
            <w:r w:rsidRPr="00D13D45">
              <w:rPr>
                <w:rFonts w:ascii="Times New Roman" w:hAnsi="Times New Roman" w:cs="Times New Roman"/>
                <w:b/>
                <w:bCs/>
              </w:rPr>
              <w:t>Statistic</w:t>
            </w:r>
          </w:p>
        </w:tc>
      </w:tr>
      <w:tr w:rsidR="00895A2D" w:rsidRPr="00D13D45" w:rsidTr="00284355">
        <w:tc>
          <w:tcPr>
            <w:tcW w:w="0" w:type="auto"/>
            <w:tcBorders>
              <w:top w:val="single" w:sz="4" w:space="0" w:color="auto"/>
            </w:tcBorders>
            <w:vAlign w:val="center"/>
          </w:tcPr>
          <w:p w:rsidR="00895A2D" w:rsidRPr="008F39D9" w:rsidRDefault="00895A2D" w:rsidP="00284355">
            <w:pPr>
              <w:pStyle w:val="ListParagraph"/>
              <w:spacing w:after="0" w:line="240" w:lineRule="auto"/>
              <w:ind w:left="0"/>
              <w:jc w:val="center"/>
              <w:rPr>
                <w:rFonts w:ascii="Times New Roman" w:hAnsi="Times New Roman" w:cs="Times New Roman"/>
                <w:bCs/>
                <w:szCs w:val="20"/>
                <w:lang w:val="id-ID"/>
              </w:rPr>
            </w:pPr>
            <w:r w:rsidRPr="008F39D9">
              <w:rPr>
                <w:rFonts w:ascii="Times New Roman" w:hAnsi="Times New Roman" w:cs="Times New Roman"/>
                <w:bCs/>
                <w:szCs w:val="20"/>
                <w:lang w:val="id-ID"/>
              </w:rPr>
              <w:t>Syncronous</w:t>
            </w:r>
          </w:p>
        </w:tc>
        <w:tc>
          <w:tcPr>
            <w:tcW w:w="0" w:type="auto"/>
            <w:tcBorders>
              <w:top w:val="single" w:sz="4" w:space="0" w:color="auto"/>
            </w:tcBorders>
            <w:vAlign w:val="center"/>
          </w:tcPr>
          <w:p w:rsidR="00895A2D" w:rsidRPr="007A5319" w:rsidRDefault="00895A2D" w:rsidP="00284355">
            <w:pPr>
              <w:pStyle w:val="ListParagraph"/>
              <w:spacing w:after="0" w:line="240" w:lineRule="auto"/>
              <w:ind w:left="0"/>
              <w:jc w:val="both"/>
              <w:rPr>
                <w:rFonts w:ascii="Times New Roman" w:hAnsi="Times New Roman" w:cs="Times New Roman"/>
                <w:szCs w:val="20"/>
              </w:rPr>
            </w:pPr>
            <w:r w:rsidRPr="007A5319">
              <w:rPr>
                <w:rFonts w:ascii="Times New Roman" w:hAnsi="Times New Roman" w:cs="Times New Roman"/>
                <w:szCs w:val="20"/>
              </w:rPr>
              <w:t>N</w:t>
            </w:r>
          </w:p>
          <w:p w:rsidR="00895A2D" w:rsidRPr="007A5319" w:rsidRDefault="00895A2D" w:rsidP="00284355">
            <w:pPr>
              <w:pStyle w:val="ListParagraph"/>
              <w:spacing w:after="0" w:line="240" w:lineRule="auto"/>
              <w:ind w:left="0"/>
              <w:jc w:val="both"/>
              <w:rPr>
                <w:rFonts w:ascii="Times New Roman" w:hAnsi="Times New Roman" w:cs="Times New Roman"/>
                <w:szCs w:val="20"/>
              </w:rPr>
            </w:pPr>
            <w:r w:rsidRPr="007A5319">
              <w:rPr>
                <w:rFonts w:ascii="Times New Roman" w:hAnsi="Times New Roman" w:cs="Times New Roman"/>
                <w:szCs w:val="20"/>
              </w:rPr>
              <w:t>Mean</w:t>
            </w:r>
          </w:p>
          <w:p w:rsidR="00895A2D" w:rsidRPr="007A5319" w:rsidRDefault="00895A2D" w:rsidP="00284355">
            <w:pPr>
              <w:pStyle w:val="ListParagraph"/>
              <w:spacing w:after="0" w:line="240" w:lineRule="auto"/>
              <w:ind w:left="0"/>
              <w:jc w:val="both"/>
              <w:rPr>
                <w:rFonts w:ascii="Times New Roman" w:hAnsi="Times New Roman" w:cs="Times New Roman"/>
                <w:szCs w:val="20"/>
              </w:rPr>
            </w:pPr>
            <w:r w:rsidRPr="007A5319">
              <w:rPr>
                <w:rFonts w:ascii="Times New Roman" w:hAnsi="Times New Roman" w:cs="Times New Roman"/>
                <w:szCs w:val="20"/>
              </w:rPr>
              <w:t>Std. Deviation</w:t>
            </w:r>
          </w:p>
          <w:p w:rsidR="00895A2D" w:rsidRPr="007A5319" w:rsidRDefault="00895A2D" w:rsidP="00284355">
            <w:pPr>
              <w:pStyle w:val="ListParagraph"/>
              <w:spacing w:after="0" w:line="240" w:lineRule="auto"/>
              <w:ind w:left="0"/>
              <w:jc w:val="both"/>
              <w:rPr>
                <w:rFonts w:ascii="Times New Roman" w:hAnsi="Times New Roman" w:cs="Times New Roman"/>
                <w:szCs w:val="20"/>
              </w:rPr>
            </w:pPr>
            <w:r w:rsidRPr="007A5319">
              <w:rPr>
                <w:rFonts w:ascii="Times New Roman" w:hAnsi="Times New Roman" w:cs="Times New Roman"/>
                <w:szCs w:val="20"/>
              </w:rPr>
              <w:t>Variance</w:t>
            </w:r>
          </w:p>
        </w:tc>
        <w:tc>
          <w:tcPr>
            <w:tcW w:w="1256" w:type="dxa"/>
            <w:tcBorders>
              <w:top w:val="single" w:sz="4" w:space="0" w:color="auto"/>
            </w:tcBorders>
            <w:vAlign w:val="center"/>
          </w:tcPr>
          <w:p w:rsidR="00895A2D" w:rsidRPr="008F39D9" w:rsidRDefault="00895A2D" w:rsidP="00284355">
            <w:pPr>
              <w:pStyle w:val="ListParagraph"/>
              <w:spacing w:after="0" w:line="240" w:lineRule="auto"/>
              <w:ind w:left="0"/>
              <w:jc w:val="center"/>
              <w:rPr>
                <w:rFonts w:ascii="Times New Roman" w:hAnsi="Times New Roman" w:cs="Times New Roman"/>
                <w:szCs w:val="20"/>
                <w:lang w:val="id-ID"/>
              </w:rPr>
            </w:pPr>
            <w:r>
              <w:rPr>
                <w:rFonts w:ascii="Times New Roman" w:hAnsi="Times New Roman" w:cs="Times New Roman"/>
                <w:szCs w:val="20"/>
                <w:lang w:val="id-ID"/>
              </w:rPr>
              <w:t>22</w:t>
            </w:r>
          </w:p>
          <w:p w:rsidR="00895A2D" w:rsidRPr="002C01C7" w:rsidRDefault="002C01C7" w:rsidP="00284355">
            <w:pPr>
              <w:pStyle w:val="ListParagraph"/>
              <w:tabs>
                <w:tab w:val="left" w:pos="428"/>
              </w:tabs>
              <w:spacing w:after="0" w:line="240" w:lineRule="auto"/>
              <w:ind w:left="0"/>
              <w:jc w:val="center"/>
              <w:rPr>
                <w:rFonts w:ascii="Times New Roman" w:hAnsi="Times New Roman" w:cs="Times New Roman"/>
                <w:szCs w:val="20"/>
                <w:lang w:val="id-ID"/>
              </w:rPr>
            </w:pPr>
            <w:r>
              <w:rPr>
                <w:rFonts w:ascii="Times New Roman" w:hAnsi="Times New Roman" w:cs="Times New Roman"/>
                <w:szCs w:val="20"/>
              </w:rPr>
              <w:t>6</w:t>
            </w:r>
            <w:r w:rsidR="003F1267">
              <w:rPr>
                <w:rFonts w:ascii="Times New Roman" w:hAnsi="Times New Roman" w:cs="Times New Roman"/>
                <w:szCs w:val="20"/>
                <w:lang w:val="id-ID"/>
              </w:rPr>
              <w:t>7.98</w:t>
            </w:r>
          </w:p>
          <w:p w:rsidR="00895A2D" w:rsidRPr="007A5319" w:rsidRDefault="003F1267" w:rsidP="00284355">
            <w:pPr>
              <w:pStyle w:val="ListParagraph"/>
              <w:spacing w:after="0" w:line="240" w:lineRule="auto"/>
              <w:ind w:left="0"/>
              <w:jc w:val="center"/>
              <w:rPr>
                <w:rFonts w:ascii="Times New Roman" w:hAnsi="Times New Roman" w:cs="Times New Roman"/>
                <w:szCs w:val="20"/>
                <w:lang w:val="id-ID"/>
              </w:rPr>
            </w:pPr>
            <w:r>
              <w:rPr>
                <w:rFonts w:ascii="Times New Roman" w:hAnsi="Times New Roman" w:cs="Times New Roman"/>
                <w:szCs w:val="20"/>
                <w:lang w:val="id-ID"/>
              </w:rPr>
              <w:t>6.768</w:t>
            </w:r>
          </w:p>
          <w:p w:rsidR="00895A2D" w:rsidRPr="002C01C7" w:rsidRDefault="003F1267" w:rsidP="00284355">
            <w:pPr>
              <w:pStyle w:val="ListParagraph"/>
              <w:spacing w:after="0" w:line="240" w:lineRule="auto"/>
              <w:ind w:left="0"/>
              <w:jc w:val="center"/>
              <w:rPr>
                <w:rFonts w:ascii="Times New Roman" w:hAnsi="Times New Roman" w:cs="Times New Roman"/>
                <w:szCs w:val="20"/>
                <w:lang w:val="id-ID"/>
              </w:rPr>
            </w:pPr>
            <w:r>
              <w:rPr>
                <w:rFonts w:ascii="Times New Roman" w:hAnsi="Times New Roman" w:cs="Times New Roman"/>
                <w:color w:val="000000"/>
                <w:szCs w:val="20"/>
                <w:lang w:val="id-ID"/>
              </w:rPr>
              <w:t>45.80</w:t>
            </w:r>
          </w:p>
        </w:tc>
      </w:tr>
      <w:tr w:rsidR="00895A2D" w:rsidRPr="00D13D45" w:rsidTr="00284355">
        <w:tc>
          <w:tcPr>
            <w:tcW w:w="0" w:type="auto"/>
            <w:tcBorders>
              <w:bottom w:val="single" w:sz="4" w:space="0" w:color="auto"/>
            </w:tcBorders>
            <w:vAlign w:val="center"/>
          </w:tcPr>
          <w:p w:rsidR="00895A2D" w:rsidRPr="008F39D9" w:rsidRDefault="00895A2D" w:rsidP="00284355">
            <w:pPr>
              <w:pStyle w:val="ListParagraph"/>
              <w:spacing w:after="0" w:line="240" w:lineRule="auto"/>
              <w:ind w:left="0"/>
              <w:jc w:val="center"/>
              <w:rPr>
                <w:rFonts w:ascii="Times New Roman" w:hAnsi="Times New Roman" w:cs="Times New Roman"/>
                <w:bCs/>
                <w:szCs w:val="20"/>
                <w:lang w:val="id-ID"/>
              </w:rPr>
            </w:pPr>
            <w:r w:rsidRPr="008F39D9">
              <w:rPr>
                <w:rFonts w:ascii="Times New Roman" w:hAnsi="Times New Roman" w:cs="Times New Roman"/>
                <w:bCs/>
                <w:szCs w:val="20"/>
                <w:lang w:val="id-ID"/>
              </w:rPr>
              <w:t>Asyncronous</w:t>
            </w:r>
          </w:p>
          <w:p w:rsidR="00895A2D" w:rsidRPr="007A5319" w:rsidRDefault="00895A2D" w:rsidP="00284355">
            <w:pPr>
              <w:pStyle w:val="ListParagraph"/>
              <w:spacing w:after="0" w:line="240" w:lineRule="auto"/>
              <w:ind w:left="0"/>
              <w:jc w:val="center"/>
              <w:rPr>
                <w:rFonts w:ascii="Times New Roman" w:hAnsi="Times New Roman" w:cs="Times New Roman"/>
                <w:b/>
                <w:bCs/>
                <w:szCs w:val="20"/>
              </w:rPr>
            </w:pPr>
          </w:p>
        </w:tc>
        <w:tc>
          <w:tcPr>
            <w:tcW w:w="0" w:type="auto"/>
            <w:tcBorders>
              <w:bottom w:val="single" w:sz="4" w:space="0" w:color="auto"/>
            </w:tcBorders>
            <w:vAlign w:val="center"/>
          </w:tcPr>
          <w:p w:rsidR="00895A2D" w:rsidRPr="007A5319" w:rsidRDefault="00895A2D" w:rsidP="00284355">
            <w:pPr>
              <w:pStyle w:val="ListParagraph"/>
              <w:spacing w:after="0" w:line="240" w:lineRule="auto"/>
              <w:ind w:left="0"/>
              <w:jc w:val="both"/>
              <w:rPr>
                <w:rFonts w:ascii="Times New Roman" w:hAnsi="Times New Roman" w:cs="Times New Roman"/>
                <w:szCs w:val="20"/>
              </w:rPr>
            </w:pPr>
            <w:r w:rsidRPr="007A5319">
              <w:rPr>
                <w:rFonts w:ascii="Times New Roman" w:hAnsi="Times New Roman" w:cs="Times New Roman"/>
                <w:szCs w:val="20"/>
              </w:rPr>
              <w:t>N</w:t>
            </w:r>
          </w:p>
          <w:p w:rsidR="00895A2D" w:rsidRPr="007A5319" w:rsidRDefault="00895A2D" w:rsidP="00284355">
            <w:pPr>
              <w:pStyle w:val="ListParagraph"/>
              <w:spacing w:after="0" w:line="240" w:lineRule="auto"/>
              <w:ind w:left="0"/>
              <w:jc w:val="both"/>
              <w:rPr>
                <w:rFonts w:ascii="Times New Roman" w:hAnsi="Times New Roman" w:cs="Times New Roman"/>
                <w:szCs w:val="20"/>
              </w:rPr>
            </w:pPr>
            <w:r w:rsidRPr="007A5319">
              <w:rPr>
                <w:rFonts w:ascii="Times New Roman" w:hAnsi="Times New Roman" w:cs="Times New Roman"/>
                <w:szCs w:val="20"/>
              </w:rPr>
              <w:t>Mean</w:t>
            </w:r>
          </w:p>
          <w:p w:rsidR="00895A2D" w:rsidRPr="007A5319" w:rsidRDefault="00895A2D" w:rsidP="00284355">
            <w:pPr>
              <w:pStyle w:val="ListParagraph"/>
              <w:spacing w:after="0" w:line="240" w:lineRule="auto"/>
              <w:ind w:left="0"/>
              <w:jc w:val="both"/>
              <w:rPr>
                <w:rFonts w:ascii="Times New Roman" w:hAnsi="Times New Roman" w:cs="Times New Roman"/>
                <w:szCs w:val="20"/>
              </w:rPr>
            </w:pPr>
            <w:r w:rsidRPr="007A5319">
              <w:rPr>
                <w:rFonts w:ascii="Times New Roman" w:hAnsi="Times New Roman" w:cs="Times New Roman"/>
                <w:szCs w:val="20"/>
              </w:rPr>
              <w:t>Std. Deviation</w:t>
            </w:r>
          </w:p>
          <w:p w:rsidR="00895A2D" w:rsidRPr="007A5319" w:rsidRDefault="00895A2D" w:rsidP="00284355">
            <w:pPr>
              <w:pStyle w:val="ListParagraph"/>
              <w:spacing w:after="0" w:line="240" w:lineRule="auto"/>
              <w:ind w:left="0"/>
              <w:jc w:val="both"/>
              <w:rPr>
                <w:rFonts w:ascii="Times New Roman" w:hAnsi="Times New Roman" w:cs="Times New Roman"/>
                <w:szCs w:val="20"/>
              </w:rPr>
            </w:pPr>
            <w:r w:rsidRPr="007A5319">
              <w:rPr>
                <w:rFonts w:ascii="Times New Roman" w:hAnsi="Times New Roman" w:cs="Times New Roman"/>
                <w:szCs w:val="20"/>
              </w:rPr>
              <w:t>Variance</w:t>
            </w:r>
          </w:p>
        </w:tc>
        <w:tc>
          <w:tcPr>
            <w:tcW w:w="1256" w:type="dxa"/>
            <w:tcBorders>
              <w:bottom w:val="single" w:sz="4" w:space="0" w:color="auto"/>
            </w:tcBorders>
            <w:vAlign w:val="center"/>
          </w:tcPr>
          <w:p w:rsidR="00895A2D" w:rsidRPr="007A5319" w:rsidRDefault="00895A2D" w:rsidP="00284355">
            <w:pPr>
              <w:pStyle w:val="ListParagraph"/>
              <w:spacing w:after="0" w:line="240" w:lineRule="auto"/>
              <w:ind w:left="0"/>
              <w:jc w:val="center"/>
              <w:rPr>
                <w:rFonts w:ascii="Times New Roman" w:hAnsi="Times New Roman" w:cs="Times New Roman"/>
                <w:szCs w:val="20"/>
              </w:rPr>
            </w:pPr>
            <w:r>
              <w:rPr>
                <w:rFonts w:ascii="Times New Roman" w:hAnsi="Times New Roman" w:cs="Times New Roman"/>
                <w:szCs w:val="20"/>
              </w:rPr>
              <w:t>18</w:t>
            </w:r>
          </w:p>
          <w:p w:rsidR="00895A2D" w:rsidRPr="007A5319" w:rsidRDefault="002C01C7" w:rsidP="00284355">
            <w:pPr>
              <w:pStyle w:val="ListParagraph"/>
              <w:spacing w:after="0" w:line="240" w:lineRule="auto"/>
              <w:ind w:left="0"/>
              <w:jc w:val="center"/>
              <w:rPr>
                <w:rFonts w:ascii="Times New Roman" w:hAnsi="Times New Roman" w:cs="Times New Roman"/>
                <w:szCs w:val="20"/>
              </w:rPr>
            </w:pPr>
            <w:r>
              <w:rPr>
                <w:rFonts w:ascii="Times New Roman" w:hAnsi="Times New Roman" w:cs="Times New Roman"/>
                <w:szCs w:val="20"/>
              </w:rPr>
              <w:t>65.03</w:t>
            </w:r>
          </w:p>
          <w:p w:rsidR="00895A2D" w:rsidRPr="007A5319" w:rsidRDefault="002C01C7" w:rsidP="00284355">
            <w:pPr>
              <w:pStyle w:val="ListParagraph"/>
              <w:spacing w:after="0" w:line="240" w:lineRule="auto"/>
              <w:ind w:left="0"/>
              <w:jc w:val="center"/>
              <w:rPr>
                <w:rFonts w:ascii="Times New Roman" w:hAnsi="Times New Roman" w:cs="Times New Roman"/>
                <w:color w:val="000000"/>
                <w:szCs w:val="20"/>
                <w:lang w:val="id-ID"/>
              </w:rPr>
            </w:pPr>
            <w:r>
              <w:rPr>
                <w:rFonts w:ascii="Times New Roman" w:hAnsi="Times New Roman" w:cs="Times New Roman"/>
                <w:color w:val="000000"/>
                <w:szCs w:val="20"/>
                <w:lang w:val="id-ID"/>
              </w:rPr>
              <w:t>12.766</w:t>
            </w:r>
          </w:p>
          <w:p w:rsidR="00895A2D" w:rsidRPr="007A5319" w:rsidRDefault="002C01C7" w:rsidP="00284355">
            <w:pPr>
              <w:pStyle w:val="ListParagraph"/>
              <w:spacing w:after="0" w:line="240" w:lineRule="auto"/>
              <w:ind w:left="0"/>
              <w:jc w:val="center"/>
              <w:rPr>
                <w:rFonts w:ascii="Times New Roman" w:hAnsi="Times New Roman" w:cs="Times New Roman"/>
                <w:szCs w:val="20"/>
                <w:lang w:val="id-ID"/>
              </w:rPr>
            </w:pPr>
            <w:r>
              <w:rPr>
                <w:rFonts w:ascii="Times New Roman" w:hAnsi="Times New Roman" w:cs="Times New Roman"/>
                <w:szCs w:val="20"/>
                <w:lang w:val="id-ID"/>
              </w:rPr>
              <w:t>162.964</w:t>
            </w:r>
          </w:p>
        </w:tc>
      </w:tr>
    </w:tbl>
    <w:p w:rsidR="00895A2D" w:rsidRPr="007A5319" w:rsidRDefault="00895A2D" w:rsidP="00895A2D">
      <w:pPr>
        <w:pStyle w:val="ListParagraph"/>
        <w:spacing w:after="0" w:line="240" w:lineRule="auto"/>
        <w:ind w:left="360"/>
        <w:jc w:val="center"/>
        <w:rPr>
          <w:rFonts w:ascii="Times New Roman" w:hAnsi="Times New Roman" w:cs="Times New Roman"/>
          <w:lang w:val="id-ID"/>
        </w:rPr>
      </w:pPr>
      <w:r w:rsidRPr="008F39D9">
        <w:rPr>
          <w:rFonts w:ascii="Times New Roman" w:hAnsi="Times New Roman" w:cs="Times New Roman"/>
        </w:rPr>
        <w:t xml:space="preserve">Table </w:t>
      </w:r>
      <w:r>
        <w:rPr>
          <w:rFonts w:ascii="Times New Roman" w:hAnsi="Times New Roman" w:cs="Times New Roman"/>
          <w:lang w:val="id-ID"/>
        </w:rPr>
        <w:t>3</w:t>
      </w:r>
      <w:r>
        <w:rPr>
          <w:rFonts w:ascii="Times New Roman" w:hAnsi="Times New Roman" w:cs="Times New Roman"/>
          <w:b/>
          <w:lang w:val="id-ID"/>
        </w:rPr>
        <w:t xml:space="preserve">. </w:t>
      </w:r>
      <w:r w:rsidRPr="007A5319">
        <w:rPr>
          <w:rFonts w:ascii="Times New Roman" w:hAnsi="Times New Roman" w:cs="Times New Roman"/>
        </w:rPr>
        <w:t xml:space="preserve">The Result of </w:t>
      </w:r>
      <w:r w:rsidR="002C01C7">
        <w:rPr>
          <w:rFonts w:ascii="Times New Roman" w:hAnsi="Times New Roman" w:cs="Times New Roman"/>
          <w:i/>
          <w:lang w:val="id-ID"/>
        </w:rPr>
        <w:t>Mann Whitney</w:t>
      </w:r>
      <w:r w:rsidRPr="007A5319">
        <w:rPr>
          <w:rFonts w:ascii="Times New Roman" w:hAnsi="Times New Roman" w:cs="Times New Roman"/>
          <w:i/>
        </w:rPr>
        <w:t>-Test</w:t>
      </w:r>
    </w:p>
    <w:p w:rsidR="00895A2D" w:rsidRPr="008F39D9" w:rsidRDefault="00895A2D" w:rsidP="00895A2D">
      <w:pPr>
        <w:spacing w:after="120"/>
        <w:jc w:val="center"/>
        <w:rPr>
          <w:rFonts w:ascii="Times New Roman" w:hAnsi="Times New Roman"/>
          <w:szCs w:val="22"/>
          <w:lang w:val="id-ID"/>
        </w:rPr>
      </w:pPr>
      <w:r w:rsidRPr="007A5319">
        <w:rPr>
          <w:rFonts w:ascii="Times New Roman" w:hAnsi="Times New Roman"/>
          <w:szCs w:val="22"/>
        </w:rPr>
        <w:t xml:space="preserve">Students’ </w:t>
      </w:r>
      <w:r>
        <w:rPr>
          <w:rFonts w:ascii="Times New Roman" w:hAnsi="Times New Roman"/>
          <w:szCs w:val="22"/>
          <w:lang w:val="id-ID"/>
        </w:rPr>
        <w:t>Interest between Syncronous and Asyncronous</w:t>
      </w:r>
    </w:p>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66"/>
        <w:gridCol w:w="1766"/>
        <w:gridCol w:w="1766"/>
      </w:tblGrid>
      <w:tr w:rsidR="00895A2D" w:rsidRPr="00D13D45" w:rsidTr="00284355">
        <w:trPr>
          <w:trHeight w:val="227"/>
          <w:jc w:val="center"/>
        </w:trPr>
        <w:tc>
          <w:tcPr>
            <w:tcW w:w="1766" w:type="dxa"/>
            <w:tcBorders>
              <w:top w:val="single" w:sz="4" w:space="0" w:color="auto"/>
              <w:bottom w:val="single" w:sz="4" w:space="0" w:color="auto"/>
            </w:tcBorders>
          </w:tcPr>
          <w:p w:rsidR="00895A2D" w:rsidRPr="007A5319" w:rsidRDefault="00895A2D" w:rsidP="00284355">
            <w:pPr>
              <w:jc w:val="center"/>
              <w:rPr>
                <w:rFonts w:ascii="Times New Roman" w:eastAsiaTheme="minorEastAsia" w:hAnsi="Times New Roman"/>
              </w:rPr>
            </w:pPr>
            <m:oMathPara>
              <m:oMath>
                <m:r>
                  <w:rPr>
                    <w:rFonts w:ascii="Cambria Math" w:eastAsiaTheme="minorEastAsia" w:hAnsi="Cambria Math"/>
                  </w:rPr>
                  <m:t>α</m:t>
                </m:r>
              </m:oMath>
            </m:oMathPara>
          </w:p>
        </w:tc>
        <w:tc>
          <w:tcPr>
            <w:tcW w:w="1766" w:type="dxa"/>
            <w:tcBorders>
              <w:top w:val="single" w:sz="4" w:space="0" w:color="auto"/>
              <w:bottom w:val="single" w:sz="4" w:space="0" w:color="auto"/>
            </w:tcBorders>
          </w:tcPr>
          <w:p w:rsidR="00895A2D" w:rsidRPr="007A5319" w:rsidRDefault="00895A2D" w:rsidP="00284355">
            <w:pPr>
              <w:jc w:val="center"/>
              <w:rPr>
                <w:rFonts w:ascii="Times New Roman" w:eastAsiaTheme="minorEastAsia" w:hAnsi="Times New Roman"/>
              </w:rPr>
            </w:pPr>
            <w:r w:rsidRPr="007A5319">
              <w:rPr>
                <w:rFonts w:ascii="Times New Roman" w:eastAsiaTheme="minorEastAsia" w:hAnsi="Times New Roman"/>
              </w:rPr>
              <w:t>Sig. (</w:t>
            </w:r>
            <w:r w:rsidRPr="007A5319">
              <w:rPr>
                <w:rFonts w:ascii="Times New Roman" w:eastAsiaTheme="minorEastAsia" w:hAnsi="Times New Roman"/>
                <w:lang w:val="id-ID"/>
              </w:rPr>
              <w:t>2</w:t>
            </w:r>
            <w:r w:rsidRPr="007A5319">
              <w:rPr>
                <w:rFonts w:ascii="Times New Roman" w:eastAsiaTheme="minorEastAsia" w:hAnsi="Times New Roman"/>
              </w:rPr>
              <w:t>-</w:t>
            </w:r>
            <w:r w:rsidRPr="007A5319">
              <w:rPr>
                <w:rFonts w:ascii="Times New Roman" w:eastAsiaTheme="minorEastAsia" w:hAnsi="Times New Roman"/>
                <w:i/>
              </w:rPr>
              <w:t>tailed</w:t>
            </w:r>
            <w:r w:rsidRPr="007A5319">
              <w:rPr>
                <w:rFonts w:ascii="Times New Roman" w:eastAsiaTheme="minorEastAsia" w:hAnsi="Times New Roman"/>
              </w:rPr>
              <w:t>)</w:t>
            </w:r>
          </w:p>
        </w:tc>
        <w:tc>
          <w:tcPr>
            <w:tcW w:w="1766" w:type="dxa"/>
            <w:tcBorders>
              <w:top w:val="single" w:sz="4" w:space="0" w:color="auto"/>
              <w:bottom w:val="single" w:sz="4" w:space="0" w:color="auto"/>
            </w:tcBorders>
          </w:tcPr>
          <w:p w:rsidR="00895A2D" w:rsidRPr="007A5319" w:rsidRDefault="00895A2D" w:rsidP="00284355">
            <w:pPr>
              <w:jc w:val="center"/>
              <w:rPr>
                <w:rFonts w:ascii="Times New Roman" w:eastAsiaTheme="minorEastAsia" w:hAnsi="Times New Roman"/>
              </w:rPr>
            </w:pPr>
            <w:r w:rsidRPr="007A5319">
              <w:rPr>
                <w:rFonts w:ascii="Times New Roman" w:eastAsiaTheme="minorEastAsia" w:hAnsi="Times New Roman"/>
              </w:rPr>
              <w:t>Result</w:t>
            </w:r>
          </w:p>
        </w:tc>
      </w:tr>
      <w:tr w:rsidR="00895A2D" w:rsidRPr="00D13D45" w:rsidTr="00284355">
        <w:trPr>
          <w:trHeight w:val="115"/>
          <w:jc w:val="center"/>
        </w:trPr>
        <w:tc>
          <w:tcPr>
            <w:tcW w:w="1766" w:type="dxa"/>
            <w:tcBorders>
              <w:top w:val="single" w:sz="4" w:space="0" w:color="auto"/>
              <w:bottom w:val="single" w:sz="4" w:space="0" w:color="auto"/>
            </w:tcBorders>
          </w:tcPr>
          <w:p w:rsidR="00895A2D" w:rsidRPr="007A5319" w:rsidRDefault="00895A2D" w:rsidP="00284355">
            <w:pPr>
              <w:jc w:val="center"/>
              <w:rPr>
                <w:rFonts w:ascii="Times New Roman" w:eastAsiaTheme="minorEastAsia" w:hAnsi="Times New Roman"/>
              </w:rPr>
            </w:pPr>
            <w:r w:rsidRPr="007A5319">
              <w:rPr>
                <w:rFonts w:ascii="Times New Roman" w:eastAsiaTheme="minorEastAsia" w:hAnsi="Times New Roman"/>
              </w:rPr>
              <w:t>0,05</w:t>
            </w:r>
          </w:p>
        </w:tc>
        <w:tc>
          <w:tcPr>
            <w:tcW w:w="1766" w:type="dxa"/>
            <w:tcBorders>
              <w:top w:val="single" w:sz="4" w:space="0" w:color="auto"/>
              <w:bottom w:val="single" w:sz="4" w:space="0" w:color="auto"/>
            </w:tcBorders>
          </w:tcPr>
          <w:p w:rsidR="00895A2D" w:rsidRPr="007A5319" w:rsidRDefault="00895A2D" w:rsidP="00284355">
            <w:pPr>
              <w:jc w:val="center"/>
              <w:rPr>
                <w:rFonts w:ascii="Times New Roman" w:eastAsiaTheme="minorEastAsia" w:hAnsi="Times New Roman"/>
                <w:lang w:val="id-ID"/>
              </w:rPr>
            </w:pPr>
            <w:r w:rsidRPr="007A5319">
              <w:rPr>
                <w:rFonts w:ascii="Times New Roman" w:eastAsiaTheme="minorEastAsia" w:hAnsi="Times New Roman"/>
              </w:rPr>
              <w:t>0,</w:t>
            </w:r>
            <w:r w:rsidR="00985841">
              <w:rPr>
                <w:rFonts w:ascii="Times New Roman" w:eastAsiaTheme="minorEastAsia" w:hAnsi="Times New Roman"/>
                <w:lang w:val="id-ID"/>
              </w:rPr>
              <w:t>624</w:t>
            </w:r>
          </w:p>
        </w:tc>
        <w:tc>
          <w:tcPr>
            <w:tcW w:w="1766" w:type="dxa"/>
            <w:tcBorders>
              <w:top w:val="single" w:sz="4" w:space="0" w:color="auto"/>
              <w:bottom w:val="single" w:sz="4" w:space="0" w:color="auto"/>
            </w:tcBorders>
          </w:tcPr>
          <w:p w:rsidR="00895A2D" w:rsidRPr="007A5319" w:rsidRDefault="005C057E" w:rsidP="00284355">
            <w:pPr>
              <w:jc w:val="center"/>
              <w:rPr>
                <w:rFonts w:ascii="Times New Roman" w:eastAsiaTheme="minorEastAsia" w:hAnsi="Times New Roman"/>
              </w:rPr>
            </w:pPr>
            <m:oMath>
              <m:sSub>
                <m:sSubPr>
                  <m:ctrlPr>
                    <w:rPr>
                      <w:rFonts w:ascii="Cambria Math" w:hAnsi="Cambria Math"/>
                    </w:rPr>
                  </m:ctrlPr>
                </m:sSubPr>
                <m:e>
                  <m:r>
                    <m:rPr>
                      <m:sty m:val="p"/>
                    </m:rPr>
                    <w:rPr>
                      <w:rFonts w:ascii="Cambria Math" w:hAnsi="Cambria Math"/>
                    </w:rPr>
                    <m:t>H</m:t>
                  </m:r>
                </m:e>
                <m:sub>
                  <m:r>
                    <m:rPr>
                      <m:sty m:val="p"/>
                    </m:rPr>
                    <w:rPr>
                      <w:rFonts w:ascii="Cambria Math" w:hAnsi="Cambria Math"/>
                    </w:rPr>
                    <m:t>0</m:t>
                  </m:r>
                </m:sub>
              </m:sSub>
            </m:oMath>
            <w:r w:rsidR="00895A2D" w:rsidRPr="007A5319">
              <w:rPr>
                <w:rFonts w:ascii="Times New Roman" w:eastAsiaTheme="minorEastAsia" w:hAnsi="Times New Roman"/>
              </w:rPr>
              <w:t xml:space="preserve"> is accepted</w:t>
            </w:r>
          </w:p>
        </w:tc>
      </w:tr>
    </w:tbl>
    <w:p w:rsidR="00895A2D" w:rsidRPr="00596677" w:rsidRDefault="00895A2D" w:rsidP="00895A2D">
      <w:pPr>
        <w:pStyle w:val="BodytextIndented"/>
        <w:ind w:firstLine="0"/>
        <w:jc w:val="center"/>
        <w:rPr>
          <w:lang w:val="id-ID"/>
        </w:rPr>
      </w:pPr>
    </w:p>
    <w:p w:rsidR="00895A2D" w:rsidRDefault="00895A2D" w:rsidP="00895A2D">
      <w:pPr>
        <w:pStyle w:val="Sectionnonumber"/>
        <w:numPr>
          <w:ilvl w:val="0"/>
          <w:numId w:val="2"/>
        </w:numPr>
        <w:ind w:left="284" w:hanging="284"/>
        <w:rPr>
          <w:lang w:val="id-ID"/>
        </w:rPr>
      </w:pPr>
      <w:r>
        <w:rPr>
          <w:lang w:val="id-ID"/>
        </w:rPr>
        <w:lastRenderedPageBreak/>
        <w:t>Dicussion and Conclusion</w:t>
      </w:r>
    </w:p>
    <w:p w:rsidR="00895A2D" w:rsidRDefault="007058C5" w:rsidP="00895A2D">
      <w:pPr>
        <w:pStyle w:val="Bodytext"/>
        <w:rPr>
          <w:lang w:val="id-ID"/>
        </w:rPr>
      </w:pPr>
      <w:r w:rsidRPr="007058C5">
        <w:rPr>
          <w:lang w:val="id-ID"/>
        </w:rPr>
        <w:t>Based on the results of the survey in Figure 1, it</w:t>
      </w:r>
      <w:r>
        <w:rPr>
          <w:lang w:val="id-ID"/>
        </w:rPr>
        <w:t xml:space="preserve"> was found that most of them have</w:t>
      </w:r>
      <w:r w:rsidRPr="007058C5">
        <w:rPr>
          <w:lang w:val="id-ID"/>
        </w:rPr>
        <w:t xml:space="preserve"> already done online learning with virtual types of synchronous and asynchronous communication, namely 72.5%. Meanwhile, 10%, which means only 4 people</w:t>
      </w:r>
      <w:r>
        <w:t>,</w:t>
      </w:r>
      <w:r w:rsidRPr="007058C5">
        <w:rPr>
          <w:lang w:val="id-ID"/>
        </w:rPr>
        <w:t xml:space="preserve"> have only studied asynchronously and 17.5% synchronously, which means that only 7 people have ever used synchronous online learning. This can be due to several factors because the time and place they have for 4 students only uses asynchronous online learning. Meanwhile, 7 people who have only experienced synchronous online learning are final year students who are preparing their final project, so that communication occurs directly with the lecturer. </w:t>
      </w:r>
      <w:r>
        <w:rPr>
          <w:lang w:val="id-ID"/>
        </w:rPr>
        <w:t>Furthermore, it is</w:t>
      </w:r>
      <w:r w:rsidRPr="007058C5">
        <w:rPr>
          <w:lang w:val="id-ID"/>
        </w:rPr>
        <w:t xml:space="preserve"> found that students' learning interest in synchronous and asynchronous online learning in Figure 2 is more than asynchronous online learning. However, the quantity differs only by 5 percent or as much as 5 people. This can be said to be different</w:t>
      </w:r>
      <w:r>
        <w:rPr>
          <w:lang w:val="id-ID"/>
        </w:rPr>
        <w:t>, but then the researcher tests</w:t>
      </w:r>
      <w:r w:rsidRPr="007058C5">
        <w:rPr>
          <w:lang w:val="id-ID"/>
        </w:rPr>
        <w:t xml:space="preserve"> it with inferential statisti</w:t>
      </w:r>
      <w:r>
        <w:rPr>
          <w:lang w:val="id-ID"/>
        </w:rPr>
        <w:t>cs to find out whether there is</w:t>
      </w:r>
      <w:r w:rsidRPr="007058C5">
        <w:rPr>
          <w:lang w:val="id-ID"/>
        </w:rPr>
        <w:t xml:space="preserve"> a significant difference or not between online learning using synchronous and asynchronous virtual communication.</w:t>
      </w:r>
    </w:p>
    <w:p w:rsidR="00895A2D" w:rsidRDefault="007058C5" w:rsidP="00895A2D">
      <w:pPr>
        <w:pStyle w:val="Bodytext"/>
        <w:ind w:firstLine="567"/>
        <w:rPr>
          <w:rFonts w:cs="Times"/>
          <w:lang w:val="id-ID"/>
        </w:rPr>
      </w:pPr>
      <w:r w:rsidRPr="007058C5">
        <w:rPr>
          <w:lang w:val="id-ID"/>
        </w:rPr>
        <w:t xml:space="preserve">Before looking at the </w:t>
      </w:r>
      <w:r>
        <w:rPr>
          <w:lang w:val="id-ID"/>
        </w:rPr>
        <w:t>differences, the researcher</w:t>
      </w:r>
      <w:r>
        <w:t>s</w:t>
      </w:r>
      <w:r>
        <w:rPr>
          <w:lang w:val="id-ID"/>
        </w:rPr>
        <w:t xml:space="preserve"> use</w:t>
      </w:r>
      <w:r w:rsidRPr="007058C5">
        <w:rPr>
          <w:lang w:val="id-ID"/>
        </w:rPr>
        <w:t xml:space="preserve"> the Likert scale to determine the categories of student learning interest towards synchronous and asynchronous online learning. This can be seen in table 1 which states that the category of interest in learning online both asynchronously and synchronously is classified as moderate, where the percentage is more in </w:t>
      </w:r>
      <w:r w:rsidR="00A523C0">
        <w:rPr>
          <w:lang w:val="id-ID"/>
        </w:rPr>
        <w:t>the moderate c</w:t>
      </w:r>
      <w:r w:rsidR="00163CCA">
        <w:rPr>
          <w:lang w:val="id-ID"/>
        </w:rPr>
        <w:t>ategory, namely 36.36% and 63.64</w:t>
      </w:r>
      <w:r w:rsidRPr="007058C5">
        <w:rPr>
          <w:lang w:val="id-ID"/>
        </w:rPr>
        <w:t>%. This shows that students' interest in online learning is still quite good even though it still needs to be improved. Then</w:t>
      </w:r>
      <w:r>
        <w:t xml:space="preserve">, </w:t>
      </w:r>
      <w:r w:rsidRPr="007058C5">
        <w:rPr>
          <w:lang w:val="id-ID"/>
        </w:rPr>
        <w:t>the researcher</w:t>
      </w:r>
      <w:r>
        <w:t>s</w:t>
      </w:r>
      <w:r>
        <w:rPr>
          <w:lang w:val="id-ID"/>
        </w:rPr>
        <w:t xml:space="preserve"> conduct</w:t>
      </w:r>
      <w:r w:rsidRPr="007058C5">
        <w:rPr>
          <w:lang w:val="id-ID"/>
        </w:rPr>
        <w:t xml:space="preserve"> an inferential statistical test to see the difference between synchronous and asynchronous online learning interest. By using the IBM 22 SPSS application and using the t independence 2 t</w:t>
      </w:r>
      <w:r w:rsidR="00985841">
        <w:rPr>
          <w:lang w:val="id-ID"/>
        </w:rPr>
        <w:t>ail test, an alpha of 0.624</w:t>
      </w:r>
      <w:r>
        <w:rPr>
          <w:lang w:val="id-ID"/>
        </w:rPr>
        <w:t xml:space="preserve"> is</w:t>
      </w:r>
      <w:r w:rsidRPr="007058C5">
        <w:rPr>
          <w:lang w:val="id-ID"/>
        </w:rPr>
        <w:t xml:space="preserve"> obtained. This shows that there is no significant difference between synchronous and asynchronous interest in learning online.</w:t>
      </w:r>
    </w:p>
    <w:p w:rsidR="00895A2D" w:rsidRPr="003640BD" w:rsidRDefault="007058C5" w:rsidP="00895A2D">
      <w:pPr>
        <w:pStyle w:val="BodytextIndented"/>
        <w:ind w:firstLine="567"/>
        <w:rPr>
          <w:lang w:val="id-ID"/>
        </w:rPr>
      </w:pPr>
      <w:r w:rsidRPr="007058C5">
        <w:rPr>
          <w:lang w:val="id-ID"/>
        </w:rPr>
        <w:t>Based on the explanations tha</w:t>
      </w:r>
      <w:r>
        <w:rPr>
          <w:lang w:val="id-ID"/>
        </w:rPr>
        <w:t>t have been presented</w:t>
      </w:r>
      <w:r w:rsidRPr="007058C5">
        <w:rPr>
          <w:lang w:val="id-ID"/>
        </w:rPr>
        <w:t>, it can be concluded that student interest in online learning still tends to be eager</w:t>
      </w:r>
      <w:r>
        <w:t xml:space="preserve"> </w:t>
      </w:r>
      <w:r w:rsidRPr="007058C5">
        <w:rPr>
          <w:lang w:val="id-ID"/>
        </w:rPr>
        <w:t xml:space="preserve">to do a combination of synchronous and asynchronous online learning. It can also be seen that students' interest in learning by learning online is still being improved because it is not classified as good and the difference between synchronous and asynchronous is not significant. It can also be said that the required </w:t>
      </w:r>
      <w:r>
        <w:rPr>
          <w:lang w:val="id-ID"/>
        </w:rPr>
        <w:t xml:space="preserve">online learning </w:t>
      </w:r>
      <w:r w:rsidRPr="007058C5">
        <w:rPr>
          <w:lang w:val="id-ID"/>
        </w:rPr>
        <w:t xml:space="preserve">is a combination of virtual synchronous and asynchronous communication. Thus, it is very </w:t>
      </w:r>
      <w:r>
        <w:t>essential</w:t>
      </w:r>
      <w:r w:rsidRPr="007058C5">
        <w:rPr>
          <w:lang w:val="id-ID"/>
        </w:rPr>
        <w:t xml:space="preserve"> for hybrid or blended learning in distance learning to achieve maximum goals. We know that there are many advantages and disadvantages </w:t>
      </w:r>
      <w:r>
        <w:t>of</w:t>
      </w:r>
      <w:r w:rsidRPr="007058C5">
        <w:rPr>
          <w:lang w:val="id-ID"/>
        </w:rPr>
        <w:t xml:space="preserve"> synchronous and asynchronous learning, so it is better if online learning is designed in such a way as to carry out varied virtual communication. The researcher hopes that the continuity of this research will be more research that applies blended learning to the achievement of learning objectives in a field of science, especially in the field of mathematics.</w:t>
      </w:r>
    </w:p>
    <w:p w:rsidR="00895A2D" w:rsidRDefault="00895A2D" w:rsidP="00895A2D">
      <w:pPr>
        <w:pStyle w:val="Sectionnonumber"/>
      </w:pPr>
      <w:r>
        <w:t>References</w:t>
      </w:r>
    </w:p>
    <w:p w:rsidR="00895A2D" w:rsidRPr="00933E0B" w:rsidRDefault="00895A2D" w:rsidP="00895A2D">
      <w:pPr>
        <w:widowControl w:val="0"/>
        <w:autoSpaceDE w:val="0"/>
        <w:autoSpaceDN w:val="0"/>
        <w:adjustRightInd w:val="0"/>
        <w:ind w:left="480" w:hanging="480"/>
        <w:rPr>
          <w:rFonts w:cs="Times"/>
          <w:noProof/>
          <w:szCs w:val="24"/>
        </w:rPr>
      </w:pPr>
      <w:r>
        <w:fldChar w:fldCharType="begin" w:fldLock="1"/>
      </w:r>
      <w:r>
        <w:instrText xml:space="preserve">ADDIN Mendeley Bibliography CSL_BIBLIOGRAPHY </w:instrText>
      </w:r>
      <w:r>
        <w:fldChar w:fldCharType="separate"/>
      </w:r>
      <w:r w:rsidRPr="00933E0B">
        <w:rPr>
          <w:rFonts w:cs="Times"/>
          <w:noProof/>
          <w:szCs w:val="24"/>
        </w:rPr>
        <w:t xml:space="preserve">Bakioğlu, F. Ö. K., Kartal, E., Özen, Z., Erol, Ç. S., &amp; Gülseçen, S. (2015). Aspects of Students about Information Technology Courses in Social Science. </w:t>
      </w:r>
      <w:r w:rsidRPr="00933E0B">
        <w:rPr>
          <w:rFonts w:cs="Times"/>
          <w:i/>
          <w:iCs/>
          <w:noProof/>
          <w:szCs w:val="24"/>
        </w:rPr>
        <w:t>Procedia - Social and Behavioral Sciences</w:t>
      </w:r>
      <w:r w:rsidRPr="00933E0B">
        <w:rPr>
          <w:rFonts w:cs="Times"/>
          <w:noProof/>
          <w:szCs w:val="24"/>
        </w:rPr>
        <w:t xml:space="preserve">, </w:t>
      </w:r>
      <w:r w:rsidRPr="00933E0B">
        <w:rPr>
          <w:rFonts w:cs="Times"/>
          <w:i/>
          <w:iCs/>
          <w:noProof/>
          <w:szCs w:val="24"/>
        </w:rPr>
        <w:t>176</w:t>
      </w:r>
      <w:r w:rsidRPr="00933E0B">
        <w:rPr>
          <w:rFonts w:cs="Times"/>
          <w:noProof/>
          <w:szCs w:val="24"/>
        </w:rPr>
        <w:t>, 148–154. https://doi.org/10.1016/j.sbspro.2015.01.455</w:t>
      </w:r>
    </w:p>
    <w:p w:rsidR="00895A2D" w:rsidRPr="00933E0B" w:rsidRDefault="00895A2D" w:rsidP="00895A2D">
      <w:pPr>
        <w:widowControl w:val="0"/>
        <w:autoSpaceDE w:val="0"/>
        <w:autoSpaceDN w:val="0"/>
        <w:adjustRightInd w:val="0"/>
        <w:ind w:left="480" w:hanging="480"/>
        <w:rPr>
          <w:rFonts w:cs="Times"/>
          <w:noProof/>
          <w:szCs w:val="24"/>
        </w:rPr>
      </w:pPr>
      <w:r w:rsidRPr="00933E0B">
        <w:rPr>
          <w:rFonts w:cs="Times"/>
          <w:noProof/>
          <w:szCs w:val="24"/>
        </w:rPr>
        <w:t xml:space="preserve">Bol, L., &amp; Garner, J. K. (2011). </w:t>
      </w:r>
      <w:r w:rsidRPr="00933E0B">
        <w:rPr>
          <w:rFonts w:cs="Times"/>
          <w:i/>
          <w:iCs/>
          <w:noProof/>
          <w:szCs w:val="24"/>
        </w:rPr>
        <w:t>Challenges in supporting self-regulation in distance education environments</w:t>
      </w:r>
      <w:r w:rsidRPr="00933E0B">
        <w:rPr>
          <w:rFonts w:cs="Times"/>
          <w:noProof/>
          <w:szCs w:val="24"/>
        </w:rPr>
        <w:t>. 104–123. https://doi.org/10.1007/s12528-011-9046-7</w:t>
      </w:r>
    </w:p>
    <w:p w:rsidR="00895A2D" w:rsidRPr="00933E0B" w:rsidRDefault="00895A2D" w:rsidP="00895A2D">
      <w:pPr>
        <w:widowControl w:val="0"/>
        <w:autoSpaceDE w:val="0"/>
        <w:autoSpaceDN w:val="0"/>
        <w:adjustRightInd w:val="0"/>
        <w:ind w:left="480" w:hanging="480"/>
        <w:rPr>
          <w:rFonts w:cs="Times"/>
          <w:noProof/>
          <w:szCs w:val="24"/>
        </w:rPr>
      </w:pPr>
      <w:r w:rsidRPr="00933E0B">
        <w:rPr>
          <w:rFonts w:cs="Times"/>
          <w:noProof/>
          <w:szCs w:val="24"/>
        </w:rPr>
        <w:t xml:space="preserve">Corfman, T., &amp; Beck, D. (2019). Case study of creativity in asynchronous online discussions. </w:t>
      </w:r>
      <w:r w:rsidRPr="00933E0B">
        <w:rPr>
          <w:rFonts w:cs="Times"/>
          <w:i/>
          <w:iCs/>
          <w:noProof/>
          <w:szCs w:val="24"/>
        </w:rPr>
        <w:t>International Journal of Educational Technology in Higher Education</w:t>
      </w:r>
      <w:r w:rsidRPr="00933E0B">
        <w:rPr>
          <w:rFonts w:cs="Times"/>
          <w:noProof/>
          <w:szCs w:val="24"/>
        </w:rPr>
        <w:t xml:space="preserve">, </w:t>
      </w:r>
      <w:r w:rsidRPr="00933E0B">
        <w:rPr>
          <w:rFonts w:cs="Times"/>
          <w:i/>
          <w:iCs/>
          <w:noProof/>
          <w:szCs w:val="24"/>
        </w:rPr>
        <w:t>16</w:t>
      </w:r>
      <w:r w:rsidRPr="00933E0B">
        <w:rPr>
          <w:rFonts w:cs="Times"/>
          <w:noProof/>
          <w:szCs w:val="24"/>
        </w:rPr>
        <w:t>(1). https://doi.org/10.1186/s41239-019-0150-5</w:t>
      </w:r>
    </w:p>
    <w:p w:rsidR="00895A2D" w:rsidRDefault="00895A2D" w:rsidP="00895A2D">
      <w:pPr>
        <w:widowControl w:val="0"/>
        <w:autoSpaceDE w:val="0"/>
        <w:autoSpaceDN w:val="0"/>
        <w:adjustRightInd w:val="0"/>
        <w:ind w:left="480" w:hanging="480"/>
        <w:rPr>
          <w:rFonts w:cs="Times"/>
          <w:noProof/>
          <w:szCs w:val="24"/>
        </w:rPr>
      </w:pPr>
      <w:r w:rsidRPr="00933E0B">
        <w:rPr>
          <w:rFonts w:cs="Times"/>
          <w:noProof/>
          <w:szCs w:val="24"/>
        </w:rPr>
        <w:t xml:space="preserve">Darma, I. K., Karma, I. G. M., &amp; Santiana, I. M. A. (2020). Blended Learning, Inovasi Strategi Pembelajaran Matematika di Era Revolusi Industri 4.0 Bagi Pendidikan Tinggi. </w:t>
      </w:r>
      <w:r w:rsidRPr="00933E0B">
        <w:rPr>
          <w:rFonts w:cs="Times"/>
          <w:i/>
          <w:iCs/>
          <w:noProof/>
          <w:szCs w:val="24"/>
        </w:rPr>
        <w:t>Prosiding Seminar Nasional Pendidikan Matematika</w:t>
      </w:r>
      <w:r w:rsidRPr="00933E0B">
        <w:rPr>
          <w:rFonts w:cs="Times"/>
          <w:noProof/>
          <w:szCs w:val="24"/>
        </w:rPr>
        <w:t xml:space="preserve">, </w:t>
      </w:r>
      <w:r w:rsidRPr="00933E0B">
        <w:rPr>
          <w:rFonts w:cs="Times"/>
          <w:i/>
          <w:iCs/>
          <w:noProof/>
          <w:szCs w:val="24"/>
        </w:rPr>
        <w:t>3</w:t>
      </w:r>
      <w:r w:rsidRPr="00933E0B">
        <w:rPr>
          <w:rFonts w:cs="Times"/>
          <w:noProof/>
          <w:szCs w:val="24"/>
        </w:rPr>
        <w:t>, 527–539.</w:t>
      </w:r>
    </w:p>
    <w:p w:rsidR="00895A2D" w:rsidRDefault="00895A2D" w:rsidP="00895A2D">
      <w:pPr>
        <w:widowControl w:val="0"/>
        <w:autoSpaceDE w:val="0"/>
        <w:autoSpaceDN w:val="0"/>
        <w:adjustRightInd w:val="0"/>
        <w:ind w:left="480" w:hanging="480"/>
        <w:rPr>
          <w:rFonts w:cs="Times"/>
          <w:noProof/>
          <w:szCs w:val="24"/>
        </w:rPr>
      </w:pPr>
      <w:r w:rsidRPr="00933E0B">
        <w:rPr>
          <w:rFonts w:cs="Times"/>
          <w:noProof/>
          <w:szCs w:val="24"/>
        </w:rPr>
        <w:t xml:space="preserve">Gao, F., Zhang, T., &amp; Franklin, T. (2013). Designing asynchronous online discussions environments: Recent progress and possible future directions. British Journal of Educational Technology, 44(3), 469–483. ERIC Number: EJ1006692.Shahabadi, M. M., &amp; Uplane, M. (2015). Synchronous and Asynchronous e-learning Styles and Academic Performance of e-learners. </w:t>
      </w:r>
      <w:r w:rsidRPr="00933E0B">
        <w:rPr>
          <w:rFonts w:cs="Times"/>
          <w:i/>
          <w:iCs/>
          <w:noProof/>
          <w:szCs w:val="24"/>
        </w:rPr>
        <w:t>Procedia - Social and Behavioral Sciences</w:t>
      </w:r>
      <w:r w:rsidRPr="00933E0B">
        <w:rPr>
          <w:rFonts w:cs="Times"/>
          <w:noProof/>
          <w:szCs w:val="24"/>
        </w:rPr>
        <w:t xml:space="preserve">, </w:t>
      </w:r>
      <w:r w:rsidRPr="00933E0B">
        <w:rPr>
          <w:rFonts w:cs="Times"/>
          <w:i/>
          <w:iCs/>
          <w:noProof/>
          <w:szCs w:val="24"/>
        </w:rPr>
        <w:t>176</w:t>
      </w:r>
      <w:r w:rsidRPr="00933E0B">
        <w:rPr>
          <w:rFonts w:cs="Times"/>
          <w:noProof/>
          <w:szCs w:val="24"/>
        </w:rPr>
        <w:t>, 129–138. https://doi.org/10.1016/j.sbspro.2015.01.453</w:t>
      </w:r>
    </w:p>
    <w:p w:rsidR="00895A2D" w:rsidRDefault="00895A2D" w:rsidP="00895A2D">
      <w:pPr>
        <w:widowControl w:val="0"/>
        <w:autoSpaceDE w:val="0"/>
        <w:autoSpaceDN w:val="0"/>
        <w:adjustRightInd w:val="0"/>
        <w:ind w:left="480" w:hanging="480"/>
        <w:rPr>
          <w:rFonts w:cs="Times"/>
          <w:noProof/>
          <w:szCs w:val="24"/>
        </w:rPr>
      </w:pPr>
      <w:r>
        <w:lastRenderedPageBreak/>
        <w:t>Dabbagh, N. and Ritland. B. B. (2005). Online Learning, Concepts, Strategies And Application. Ohio: Pearson</w:t>
      </w:r>
    </w:p>
    <w:p w:rsidR="00895A2D" w:rsidRDefault="00895A2D" w:rsidP="00895A2D">
      <w:pPr>
        <w:widowControl w:val="0"/>
        <w:autoSpaceDE w:val="0"/>
        <w:autoSpaceDN w:val="0"/>
        <w:adjustRightInd w:val="0"/>
        <w:ind w:left="480" w:hanging="480"/>
      </w:pPr>
      <w:r>
        <w:t>Dryden, Gordon and Vos. J. (2001). Revolusi Cara Belajar. Bandung: Kaifa</w:t>
      </w:r>
    </w:p>
    <w:p w:rsidR="00895A2D" w:rsidRDefault="00895A2D" w:rsidP="00895A2D">
      <w:pPr>
        <w:widowControl w:val="0"/>
        <w:autoSpaceDE w:val="0"/>
        <w:autoSpaceDN w:val="0"/>
        <w:adjustRightInd w:val="0"/>
        <w:ind w:left="480" w:hanging="480"/>
      </w:pPr>
      <w:r>
        <w:t>Slameto (2003) Belajar dan Faktor-Faktor yang Mempengaruhinya. Jakarta: Rineka Cipta.</w:t>
      </w:r>
    </w:p>
    <w:p w:rsidR="00895A2D" w:rsidRPr="00DB2DB1" w:rsidRDefault="00895A2D" w:rsidP="00895A2D">
      <w:pPr>
        <w:widowControl w:val="0"/>
        <w:autoSpaceDE w:val="0"/>
        <w:autoSpaceDN w:val="0"/>
        <w:adjustRightInd w:val="0"/>
        <w:ind w:left="480" w:hanging="480"/>
      </w:pPr>
      <w:r w:rsidRPr="00933E0B">
        <w:rPr>
          <w:rFonts w:cs="Times"/>
          <w:noProof/>
          <w:szCs w:val="24"/>
        </w:rPr>
        <w:t xml:space="preserve">Stefan Hrastinski. (n.d.). </w:t>
      </w:r>
      <w:r w:rsidRPr="00933E0B">
        <w:rPr>
          <w:rFonts w:cs="Times"/>
          <w:i/>
          <w:iCs/>
          <w:noProof/>
          <w:szCs w:val="24"/>
        </w:rPr>
        <w:t>Asynchronous and Synchronous Cooperation</w:t>
      </w:r>
      <w:r w:rsidRPr="00933E0B">
        <w:rPr>
          <w:rFonts w:cs="Times"/>
          <w:noProof/>
          <w:szCs w:val="24"/>
        </w:rPr>
        <w:t xml:space="preserve"> (Issue January 2008, pp. 245–256). https://doi.org/10.1007/978-4-431-66942-5_22</w:t>
      </w:r>
    </w:p>
    <w:p w:rsidR="00A0132C" w:rsidRDefault="00895A2D">
      <w:r>
        <w:fldChar w:fldCharType="end"/>
      </w:r>
    </w:p>
    <w:sectPr w:rsidR="00A0132C">
      <w:headerReference w:type="default" r:id="rId10"/>
      <w:footnotePr>
        <w:pos w:val="beneathText"/>
      </w:footnotePr>
      <w:endnotePr>
        <w:numFmt w:val="chicago"/>
        <w:numStart w:val="4"/>
      </w:endnotePr>
      <w:pgSz w:w="11907" w:h="16840" w:code="9"/>
      <w:pgMar w:top="2268" w:right="1418" w:bottom="1531" w:left="1418"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C057E" w:rsidRDefault="005C057E">
      <w:r>
        <w:separator/>
      </w:r>
    </w:p>
  </w:endnote>
  <w:endnote w:type="continuationSeparator" w:id="0">
    <w:p w:rsidR="005C057E" w:rsidRDefault="005C05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C057E" w:rsidRDefault="005C057E">
      <w:r>
        <w:separator/>
      </w:r>
    </w:p>
  </w:footnote>
  <w:footnote w:type="continuationSeparator" w:id="0">
    <w:p w:rsidR="005C057E" w:rsidRDefault="005C05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0487" w:rsidRDefault="005C057E"/>
  <w:p w:rsidR="009A0487" w:rsidRDefault="005C057E"/>
  <w:p w:rsidR="009A0487" w:rsidRDefault="005C057E"/>
  <w:p w:rsidR="009A0487" w:rsidRDefault="005C057E"/>
  <w:p w:rsidR="009A0487" w:rsidRDefault="005C057E"/>
  <w:p w:rsidR="009A0487" w:rsidRDefault="005C057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491C6A"/>
    <w:multiLevelType w:val="multilevel"/>
    <w:tmpl w:val="673A7A1C"/>
    <w:lvl w:ilvl="0">
      <w:start w:val="1"/>
      <w:numFmt w:val="decimal"/>
      <w:pStyle w:val="Section"/>
      <w:suff w:val="nothing"/>
      <w:lvlText w:val="%1.  "/>
      <w:lvlJc w:val="left"/>
      <w:pPr>
        <w:ind w:left="0" w:firstLine="0"/>
      </w:pPr>
      <w:rPr>
        <w:rFonts w:hint="default"/>
      </w:rPr>
    </w:lvl>
    <w:lvl w:ilvl="1">
      <w:start w:val="1"/>
      <w:numFmt w:val="decimal"/>
      <w:pStyle w:val="Subsection"/>
      <w:suff w:val="nothing"/>
      <w:lvlText w:val="%1.%2.  "/>
      <w:lvlJc w:val="left"/>
      <w:pPr>
        <w:ind w:left="0" w:firstLine="0"/>
      </w:pPr>
      <w:rPr>
        <w:rFonts w:hint="default"/>
      </w:rPr>
    </w:lvl>
    <w:lvl w:ilvl="2">
      <w:start w:val="1"/>
      <w:numFmt w:val="decimal"/>
      <w:pStyle w:val="Subsubsection"/>
      <w:suff w:val="nothing"/>
      <w:lvlText w:val="%1.%2.%3.  "/>
      <w:lvlJc w:val="left"/>
      <w:pPr>
        <w:ind w:left="0" w:firstLine="142"/>
      </w:pPr>
      <w:rPr>
        <w:rFonts w:hint="default"/>
        <w:i/>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
    <w:nsid w:val="56512210"/>
    <w:multiLevelType w:val="hybridMultilevel"/>
    <w:tmpl w:val="D6C4AEA0"/>
    <w:lvl w:ilvl="0" w:tplc="0421000F">
      <w:start w:val="1"/>
      <w:numFmt w:val="decimal"/>
      <w:lvlText w:val="%1."/>
      <w:lvlJc w:val="left"/>
      <w:pPr>
        <w:ind w:left="36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63FF09B4"/>
    <w:multiLevelType w:val="multilevel"/>
    <w:tmpl w:val="3B6AAE3A"/>
    <w:lvl w:ilvl="0">
      <w:start w:val="1"/>
      <w:numFmt w:val="decimal"/>
      <w:suff w:val="space"/>
      <w:lvlText w:val="%1."/>
      <w:lvlJc w:val="left"/>
      <w:pPr>
        <w:ind w:left="0" w:firstLine="0"/>
      </w:pPr>
      <w:rPr>
        <w:rFonts w:hint="default"/>
        <w:sz w:val="22"/>
      </w:rPr>
    </w:lvl>
    <w:lvl w:ilvl="1">
      <w:start w:val="1"/>
      <w:numFmt w:val="decimal"/>
      <w:pStyle w:val="subsection0"/>
      <w:suff w:val="space"/>
      <w:lvlText w:val="%1.%2."/>
      <w:lvlJc w:val="left"/>
      <w:pPr>
        <w:ind w:left="0" w:firstLine="0"/>
      </w:pPr>
      <w:rPr>
        <w:rFonts w:hint="default"/>
        <w:lang w:val="en-GB"/>
      </w:rPr>
    </w:lvl>
    <w:lvl w:ilvl="2">
      <w:start w:val="1"/>
      <w:numFmt w:val="decimal"/>
      <w:pStyle w:val="subsubsection0"/>
      <w:suff w:val="space"/>
      <w:lvlText w:val="%1.%2.%3."/>
      <w:lvlJc w:val="left"/>
      <w:pPr>
        <w:ind w:left="993" w:hanging="851"/>
      </w:pPr>
      <w:rPr>
        <w:rFonts w:hint="default"/>
        <w:i/>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pos w:val="beneathText"/>
    <w:footnote w:id="-1"/>
    <w:footnote w:id="0"/>
  </w:footnotePr>
  <w:endnotePr>
    <w:numFmt w:val="chicago"/>
    <w:numStart w:val="4"/>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A2D"/>
    <w:rsid w:val="00053832"/>
    <w:rsid w:val="00163CCA"/>
    <w:rsid w:val="00290BE1"/>
    <w:rsid w:val="002C01C7"/>
    <w:rsid w:val="0033100D"/>
    <w:rsid w:val="003F1267"/>
    <w:rsid w:val="005C057E"/>
    <w:rsid w:val="006A5863"/>
    <w:rsid w:val="007058C5"/>
    <w:rsid w:val="007B6C6F"/>
    <w:rsid w:val="007F4290"/>
    <w:rsid w:val="00895A2D"/>
    <w:rsid w:val="009115D3"/>
    <w:rsid w:val="00985841"/>
    <w:rsid w:val="009C2790"/>
    <w:rsid w:val="00A0132C"/>
    <w:rsid w:val="00A523C0"/>
    <w:rsid w:val="00B32FFB"/>
    <w:rsid w:val="00BB02C1"/>
    <w:rsid w:val="00C72BCE"/>
    <w:rsid w:val="00CA5EC2"/>
    <w:rsid w:val="00D229B0"/>
    <w:rsid w:val="00E757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F2687B0-D604-4B11-A36B-FAC6D39F0E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95A2D"/>
    <w:pPr>
      <w:spacing w:after="0" w:line="240" w:lineRule="auto"/>
    </w:pPr>
    <w:rPr>
      <w:rFonts w:ascii="Times" w:eastAsia="Times New Roman" w:hAnsi="Times" w:cs="Times New Roman"/>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subsection">
    <w:name w:val="Subsubsection"/>
    <w:next w:val="Bodytext"/>
    <w:rsid w:val="00895A2D"/>
    <w:pPr>
      <w:numPr>
        <w:ilvl w:val="2"/>
        <w:numId w:val="1"/>
      </w:numPr>
      <w:spacing w:before="240" w:after="0" w:line="240" w:lineRule="auto"/>
      <w:ind w:firstLine="0"/>
    </w:pPr>
    <w:rPr>
      <w:rFonts w:ascii="Times" w:eastAsia="Times New Roman" w:hAnsi="Times" w:cs="Times New Roman"/>
      <w:i/>
      <w:iCs/>
      <w:color w:val="000000"/>
      <w:lang w:val="en-GB"/>
    </w:rPr>
  </w:style>
  <w:style w:type="paragraph" w:customStyle="1" w:styleId="Bodytext">
    <w:name w:val="Bodytext"/>
    <w:next w:val="BodytextIndented"/>
    <w:rsid w:val="00895A2D"/>
    <w:pPr>
      <w:spacing w:after="0" w:line="240" w:lineRule="auto"/>
      <w:jc w:val="both"/>
    </w:pPr>
    <w:rPr>
      <w:rFonts w:ascii="Times" w:eastAsia="Times New Roman" w:hAnsi="Times" w:cs="Times New Roman"/>
      <w:iCs/>
      <w:color w:val="000000"/>
    </w:rPr>
  </w:style>
  <w:style w:type="paragraph" w:customStyle="1" w:styleId="BodytextIndented">
    <w:name w:val="BodytextIndented"/>
    <w:basedOn w:val="Bodytext"/>
    <w:rsid w:val="00895A2D"/>
    <w:pPr>
      <w:ind w:firstLine="284"/>
    </w:pPr>
  </w:style>
  <w:style w:type="paragraph" w:customStyle="1" w:styleId="Section">
    <w:name w:val="Section"/>
    <w:next w:val="Bodytext"/>
    <w:rsid w:val="00895A2D"/>
    <w:pPr>
      <w:numPr>
        <w:numId w:val="1"/>
      </w:numPr>
      <w:spacing w:before="240" w:after="0" w:line="240" w:lineRule="auto"/>
    </w:pPr>
    <w:rPr>
      <w:rFonts w:ascii="Times" w:eastAsia="Times New Roman" w:hAnsi="Times" w:cs="Times New Roman"/>
      <w:b/>
      <w:iCs/>
      <w:color w:val="000000"/>
      <w:lang w:val="en-GB"/>
    </w:rPr>
  </w:style>
  <w:style w:type="paragraph" w:customStyle="1" w:styleId="Subsection">
    <w:name w:val="Subsection"/>
    <w:next w:val="Bodytext"/>
    <w:rsid w:val="00895A2D"/>
    <w:pPr>
      <w:numPr>
        <w:ilvl w:val="1"/>
        <w:numId w:val="1"/>
      </w:numPr>
      <w:spacing w:before="240" w:after="0" w:line="240" w:lineRule="auto"/>
    </w:pPr>
    <w:rPr>
      <w:rFonts w:ascii="Times" w:eastAsia="Times New Roman" w:hAnsi="Times" w:cs="Times New Roman"/>
      <w:iCs/>
      <w:color w:val="000000"/>
      <w:lang w:val="en-GB"/>
    </w:rPr>
  </w:style>
  <w:style w:type="paragraph" w:customStyle="1" w:styleId="E-mail">
    <w:name w:val="E-mail"/>
    <w:next w:val="Normal"/>
    <w:rsid w:val="00895A2D"/>
    <w:pPr>
      <w:spacing w:after="240" w:line="240" w:lineRule="auto"/>
      <w:ind w:left="1418"/>
    </w:pPr>
    <w:rPr>
      <w:rFonts w:ascii="Times" w:eastAsia="Times New Roman" w:hAnsi="Times" w:cs="Times New Roman"/>
      <w:noProof/>
    </w:rPr>
  </w:style>
  <w:style w:type="paragraph" w:customStyle="1" w:styleId="Sectionnonumber">
    <w:name w:val="Section (no number)"/>
    <w:next w:val="Bodytext"/>
    <w:rsid w:val="00895A2D"/>
    <w:pPr>
      <w:spacing w:before="240" w:after="0" w:line="240" w:lineRule="auto"/>
    </w:pPr>
    <w:rPr>
      <w:rFonts w:ascii="Times" w:eastAsia="Times New Roman" w:hAnsi="Times" w:cs="Times New Roman"/>
      <w:b/>
      <w:iCs/>
      <w:color w:val="000000"/>
    </w:rPr>
  </w:style>
  <w:style w:type="paragraph" w:styleId="Title">
    <w:name w:val="Title"/>
    <w:basedOn w:val="Normal"/>
    <w:next w:val="Authors"/>
    <w:link w:val="TitleChar"/>
    <w:qFormat/>
    <w:rsid w:val="00895A2D"/>
    <w:pPr>
      <w:spacing w:before="1588" w:after="567"/>
    </w:pPr>
    <w:rPr>
      <w:b/>
      <w:sz w:val="34"/>
      <w:szCs w:val="34"/>
    </w:rPr>
  </w:style>
  <w:style w:type="character" w:customStyle="1" w:styleId="TitleChar">
    <w:name w:val="Title Char"/>
    <w:basedOn w:val="DefaultParagraphFont"/>
    <w:link w:val="Title"/>
    <w:rsid w:val="00895A2D"/>
    <w:rPr>
      <w:rFonts w:ascii="Times" w:eastAsia="Times New Roman" w:hAnsi="Times" w:cs="Times New Roman"/>
      <w:b/>
      <w:sz w:val="34"/>
      <w:szCs w:val="34"/>
      <w:lang w:val="en-GB"/>
    </w:rPr>
  </w:style>
  <w:style w:type="paragraph" w:customStyle="1" w:styleId="Authors">
    <w:name w:val="Authors"/>
    <w:next w:val="Addresses"/>
    <w:rsid w:val="00895A2D"/>
    <w:pPr>
      <w:spacing w:after="113" w:line="240" w:lineRule="auto"/>
      <w:ind w:left="1418"/>
    </w:pPr>
    <w:rPr>
      <w:rFonts w:ascii="Times" w:eastAsia="Times New Roman" w:hAnsi="Times" w:cs="Times New Roman"/>
      <w:b/>
      <w:lang w:val="en-GB"/>
    </w:rPr>
  </w:style>
  <w:style w:type="paragraph" w:customStyle="1" w:styleId="Addresses">
    <w:name w:val="Addresses"/>
    <w:next w:val="E-mail"/>
    <w:rsid w:val="00895A2D"/>
    <w:pPr>
      <w:spacing w:after="240" w:line="240" w:lineRule="auto"/>
      <w:ind w:left="1418"/>
    </w:pPr>
    <w:rPr>
      <w:rFonts w:ascii="Times" w:eastAsia="Times New Roman" w:hAnsi="Times" w:cs="Times New Roman"/>
      <w:lang w:val="en-GB"/>
    </w:rPr>
  </w:style>
  <w:style w:type="character" w:styleId="Hyperlink">
    <w:name w:val="Hyperlink"/>
    <w:basedOn w:val="DefaultParagraphFont"/>
    <w:uiPriority w:val="99"/>
    <w:unhideWhenUsed/>
    <w:rsid w:val="00895A2D"/>
    <w:rPr>
      <w:color w:val="0563C1" w:themeColor="hyperlink"/>
      <w:u w:val="single"/>
    </w:rPr>
  </w:style>
  <w:style w:type="table" w:styleId="TableGrid">
    <w:name w:val="Table Grid"/>
    <w:basedOn w:val="TableNormal"/>
    <w:uiPriority w:val="59"/>
    <w:rsid w:val="00895A2D"/>
    <w:pPr>
      <w:spacing w:after="0" w:line="240" w:lineRule="auto"/>
    </w:pPr>
    <w:rPr>
      <w:rFonts w:ascii="Times New Roman" w:eastAsia="Times New Roman" w:hAnsi="Times New Roman" w:cs="Times New Roman"/>
      <w:sz w:val="20"/>
      <w:szCs w:val="20"/>
      <w:lang w:val="en-GB" w:eastAsia="en-GB"/>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ubsection0">
    <w:name w:val="subsection"/>
    <w:rsid w:val="00895A2D"/>
    <w:pPr>
      <w:numPr>
        <w:ilvl w:val="1"/>
        <w:numId w:val="3"/>
      </w:numPr>
      <w:tabs>
        <w:tab w:val="left" w:pos="567"/>
      </w:tabs>
      <w:spacing w:before="240" w:after="0" w:line="240" w:lineRule="auto"/>
    </w:pPr>
    <w:rPr>
      <w:rFonts w:ascii="Times" w:eastAsia="Times New Roman" w:hAnsi="Times" w:cs="Times New Roman"/>
      <w:i/>
      <w:iCs/>
      <w:color w:val="000000"/>
    </w:rPr>
  </w:style>
  <w:style w:type="paragraph" w:customStyle="1" w:styleId="subsubsection0">
    <w:name w:val="subsubsection"/>
    <w:autoRedefine/>
    <w:rsid w:val="00895A2D"/>
    <w:pPr>
      <w:numPr>
        <w:ilvl w:val="2"/>
        <w:numId w:val="3"/>
      </w:numPr>
      <w:tabs>
        <w:tab w:val="left" w:pos="567"/>
      </w:tabs>
      <w:spacing w:before="240" w:after="0" w:line="240" w:lineRule="auto"/>
      <w:ind w:left="0" w:firstLine="0"/>
      <w:jc w:val="both"/>
    </w:pPr>
    <w:rPr>
      <w:rFonts w:ascii="Times" w:eastAsia="Times New Roman" w:hAnsi="Times" w:cs="Times New Roman"/>
      <w:i/>
      <w:iCs/>
      <w:color w:val="000000"/>
    </w:rPr>
  </w:style>
  <w:style w:type="paragraph" w:styleId="ListParagraph">
    <w:name w:val="List Paragraph"/>
    <w:aliases w:val="Body of text,List Paragraph1"/>
    <w:basedOn w:val="Normal"/>
    <w:link w:val="ListParagraphChar"/>
    <w:uiPriority w:val="34"/>
    <w:qFormat/>
    <w:rsid w:val="00895A2D"/>
    <w:pPr>
      <w:spacing w:after="160" w:line="259" w:lineRule="auto"/>
      <w:ind w:left="720"/>
      <w:contextualSpacing/>
    </w:pPr>
    <w:rPr>
      <w:rFonts w:asciiTheme="minorHAnsi" w:eastAsiaTheme="minorHAnsi" w:hAnsiTheme="minorHAnsi" w:cstheme="minorBidi"/>
      <w:szCs w:val="22"/>
      <w:lang w:val="en-US"/>
    </w:rPr>
  </w:style>
  <w:style w:type="character" w:customStyle="1" w:styleId="ListParagraphChar">
    <w:name w:val="List Paragraph Char"/>
    <w:aliases w:val="Body of text Char,List Paragraph1 Char"/>
    <w:basedOn w:val="DefaultParagraphFont"/>
    <w:link w:val="ListParagraph"/>
    <w:uiPriority w:val="34"/>
    <w:locked/>
    <w:rsid w:val="00895A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ettings" Target="settings.xml"/><Relationship Id="rId7" Type="http://schemas.openxmlformats.org/officeDocument/2006/relationships/hyperlink" Target="mailto:putikrustika@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364</TotalTime>
  <Pages>6</Pages>
  <Words>2465</Words>
  <Characters>14055</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dc:creator>
  <cp:keywords/>
  <dc:description/>
  <cp:lastModifiedBy>Windows User</cp:lastModifiedBy>
  <cp:revision>18</cp:revision>
  <dcterms:created xsi:type="dcterms:W3CDTF">2020-08-16T05:40:00Z</dcterms:created>
  <dcterms:modified xsi:type="dcterms:W3CDTF">2020-08-18T14:21:00Z</dcterms:modified>
</cp:coreProperties>
</file>