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E671" w14:textId="1A73A910" w:rsidR="00285A67" w:rsidRPr="00075EA6" w:rsidRDefault="00930E94" w:rsidP="00285A67">
      <w:pPr>
        <w:pStyle w:val="PaperTitle"/>
        <w:rPr>
          <w:b w:val="0"/>
          <w:bCs/>
          <w:sz w:val="24"/>
          <w:szCs w:val="24"/>
        </w:rPr>
      </w:pPr>
      <w:r>
        <w:t xml:space="preserve">Does </w:t>
      </w:r>
      <w:r w:rsidR="004E1C6F">
        <w:t>Teacher Roles a</w:t>
      </w:r>
      <w:r w:rsidR="00285A67" w:rsidRPr="00C96C88">
        <w:t xml:space="preserve">nd </w:t>
      </w:r>
      <w:r w:rsidR="004E1C6F">
        <w:t>School Types</w:t>
      </w:r>
      <w:r w:rsidR="00285A67" w:rsidRPr="00C96C88">
        <w:t xml:space="preserve"> </w:t>
      </w:r>
      <w:r>
        <w:t>Affect</w:t>
      </w:r>
      <w:r w:rsidR="00285A67" w:rsidRPr="00C96C88">
        <w:t xml:space="preserve"> Student’s Mathematics Literacy Ability</w:t>
      </w:r>
      <w:r>
        <w:t>?</w:t>
      </w:r>
    </w:p>
    <w:p w14:paraId="3CB47E01" w14:textId="5BE848DE" w:rsidR="00285A67" w:rsidRPr="00701C3D" w:rsidRDefault="00285A67" w:rsidP="00285A67">
      <w:pPr>
        <w:pStyle w:val="AuthorName"/>
        <w:rPr>
          <w:vertAlign w:val="superscript"/>
        </w:rPr>
      </w:pPr>
      <w:r>
        <w:t>Ika Surtiani</w:t>
      </w:r>
      <w:r w:rsidRPr="2F830975">
        <w:rPr>
          <w:vertAlign w:val="superscript"/>
        </w:rPr>
        <w:t>1, a)</w:t>
      </w:r>
      <w:r w:rsidR="00701C3D">
        <w:t xml:space="preserve">, </w:t>
      </w:r>
      <w:r w:rsidR="00AE426E">
        <w:t>Kismiantini</w:t>
      </w:r>
      <w:proofErr w:type="gramStart"/>
      <w:r w:rsidR="00701C3D">
        <w:rPr>
          <w:vertAlign w:val="superscript"/>
        </w:rPr>
        <w:t>1,b</w:t>
      </w:r>
      <w:proofErr w:type="gramEnd"/>
      <w:r w:rsidR="00701C3D">
        <w:rPr>
          <w:vertAlign w:val="superscript"/>
        </w:rPr>
        <w:t>)</w:t>
      </w:r>
    </w:p>
    <w:p w14:paraId="25B3EC17" w14:textId="35F9B992" w:rsidR="00701C3D" w:rsidRPr="00701C3D" w:rsidRDefault="00701C3D" w:rsidP="00701C3D">
      <w:pPr>
        <w:pStyle w:val="AuthorAffiliation"/>
        <w:jc w:val="left"/>
      </w:pPr>
    </w:p>
    <w:p w14:paraId="7352B710" w14:textId="77777777" w:rsidR="00285A67" w:rsidRPr="00C96C88" w:rsidRDefault="00285A67" w:rsidP="00285A67">
      <w:pPr>
        <w:pStyle w:val="AuthorName"/>
        <w:spacing w:before="0" w:after="0"/>
        <w:rPr>
          <w:sz w:val="20"/>
          <w:lang w:val="en-GB" w:eastAsia="en-GB"/>
        </w:rPr>
      </w:pPr>
      <w:r>
        <w:rPr>
          <w:sz w:val="20"/>
          <w:lang w:val="en-GB" w:eastAsia="en-GB"/>
        </w:rPr>
        <w:t xml:space="preserve">Author Affiliations </w:t>
      </w:r>
    </w:p>
    <w:p w14:paraId="4745E4B0" w14:textId="77777777" w:rsidR="00285A67" w:rsidRDefault="00285A67" w:rsidP="00285A67">
      <w:pPr>
        <w:pStyle w:val="AuthorAffiliation"/>
      </w:pPr>
      <w:r w:rsidRPr="00075EA6">
        <w:rPr>
          <w:i w:val="0"/>
          <w:iCs/>
          <w:vertAlign w:val="superscript"/>
        </w:rPr>
        <w:t>1</w:t>
      </w:r>
      <w:r>
        <w:t xml:space="preserve">Mathematics Education Department, </w:t>
      </w:r>
      <w:r w:rsidRPr="00C96C88">
        <w:t>Faculty of Mathematics and Natural Sciences,</w:t>
      </w:r>
    </w:p>
    <w:p w14:paraId="5F6301C9" w14:textId="77777777" w:rsidR="00285A67" w:rsidRDefault="00285A67" w:rsidP="00285A67">
      <w:pPr>
        <w:pStyle w:val="AuthorAffiliation"/>
      </w:pPr>
      <w:r w:rsidRPr="00C96C88">
        <w:t xml:space="preserve"> State University of Yogyakarta</w:t>
      </w:r>
    </w:p>
    <w:p w14:paraId="744871A7" w14:textId="5D002B3F" w:rsidR="00285A67" w:rsidRDefault="00285A67" w:rsidP="00285A67">
      <w:pPr>
        <w:pStyle w:val="AuthorAffiliation"/>
      </w:pPr>
      <w:r w:rsidRPr="00A6136D">
        <w:t xml:space="preserve">Jl. Colombo Yogyakarta No.1, Karang Malang, </w:t>
      </w:r>
      <w:proofErr w:type="spellStart"/>
      <w:r w:rsidRPr="00A6136D">
        <w:t>Caturtungga</w:t>
      </w:r>
      <w:r w:rsidR="00C16E86">
        <w:t>l</w:t>
      </w:r>
      <w:proofErr w:type="spellEnd"/>
      <w:r>
        <w:t xml:space="preserve">, Sleman, Yogyakarta, Indonesia </w:t>
      </w:r>
      <w:r w:rsidRPr="00A6136D">
        <w:t>55281</w:t>
      </w:r>
    </w:p>
    <w:p w14:paraId="1A3D1A9E" w14:textId="77777777" w:rsidR="00285A67" w:rsidRDefault="00285A67" w:rsidP="00285A67">
      <w:pPr>
        <w:pStyle w:val="AuthorAffiliation"/>
      </w:pPr>
      <w:r>
        <w:t>.</w:t>
      </w:r>
      <w:r w:rsidRPr="00075EA6">
        <w:br/>
      </w:r>
      <w:r>
        <w:t>Author Emails</w:t>
      </w:r>
    </w:p>
    <w:p w14:paraId="3532D81F" w14:textId="23A53E22" w:rsidR="00285A67" w:rsidRDefault="00285A67" w:rsidP="00285A67">
      <w:pPr>
        <w:pStyle w:val="AuthorAffiliation"/>
      </w:pPr>
      <w:r w:rsidRPr="00A6136D">
        <w:rPr>
          <w:vertAlign w:val="superscript"/>
        </w:rPr>
        <w:t>a)</w:t>
      </w:r>
      <w:hyperlink r:id="rId9" w:history="1">
        <w:r w:rsidR="00701C3D" w:rsidRPr="00077D86">
          <w:rPr>
            <w:rStyle w:val="Hyperlink"/>
          </w:rPr>
          <w:t>ikasurtiani.2021@student.uny.ac.id</w:t>
        </w:r>
      </w:hyperlink>
      <w:r w:rsidR="00701C3D">
        <w:t xml:space="preserve"> </w:t>
      </w:r>
    </w:p>
    <w:p w14:paraId="7A99E3FE" w14:textId="1523647B" w:rsidR="00285A67" w:rsidRDefault="00285A67" w:rsidP="00285A67">
      <w:pPr>
        <w:pStyle w:val="AuthorAffiliation"/>
      </w:pPr>
      <w:r w:rsidRPr="00A6136D">
        <w:rPr>
          <w:vertAlign w:val="superscript"/>
        </w:rPr>
        <w:t>b)</w:t>
      </w:r>
      <w:hyperlink r:id="rId10" w:history="1">
        <w:r w:rsidR="00701C3D" w:rsidRPr="00077D86">
          <w:rPr>
            <w:rStyle w:val="Hyperlink"/>
          </w:rPr>
          <w:t>kismi@uny.ac.id</w:t>
        </w:r>
      </w:hyperlink>
    </w:p>
    <w:p w14:paraId="65262FDD" w14:textId="77777777" w:rsidR="00701C3D" w:rsidRPr="00075EA6" w:rsidRDefault="00701C3D" w:rsidP="00AA49D6">
      <w:pPr>
        <w:pStyle w:val="AuthorAffiliation"/>
        <w:jc w:val="left"/>
      </w:pPr>
    </w:p>
    <w:p w14:paraId="21F66D76" w14:textId="14533D7D" w:rsidR="00AC0154" w:rsidRPr="00AC0154" w:rsidRDefault="0016385D" w:rsidP="00AA49D6">
      <w:pPr>
        <w:pStyle w:val="Abstract"/>
      </w:pPr>
      <w:r w:rsidRPr="00075EA6">
        <w:rPr>
          <w:b/>
          <w:bCs/>
        </w:rPr>
        <w:t>Abstract.</w:t>
      </w:r>
      <w:r w:rsidRPr="00075EA6">
        <w:t xml:space="preserve"> </w:t>
      </w:r>
      <w:r w:rsidR="000E2CDB">
        <w:t xml:space="preserve">Teacher takes an important role during the teaching and learning activities. </w:t>
      </w:r>
      <w:r w:rsidR="00F11DD3">
        <w:t xml:space="preserve">The aim of this study is examining the relations among teacher roles and school types on student’s mathematics literacy ability. </w:t>
      </w:r>
      <w:r w:rsidR="00461B67">
        <w:t xml:space="preserve">Mathematics literacy was the major domain of PISA 2012. </w:t>
      </w:r>
      <w:r w:rsidR="00775B26">
        <w:t xml:space="preserve">Using a multilevel model on the PISA 2012 data </w:t>
      </w:r>
      <w:r w:rsidR="00461B67">
        <w:t xml:space="preserve">with a sample size of </w:t>
      </w:r>
      <w:r w:rsidR="00461B67" w:rsidRPr="00285A67">
        <w:t>3,601 from 208 schools</w:t>
      </w:r>
      <w:r w:rsidR="00461B67">
        <w:t xml:space="preserve">, </w:t>
      </w:r>
      <w:r w:rsidR="00775B26">
        <w:t xml:space="preserve">teacher roles and school type effect on students’ mathematics literacy are being observed. </w:t>
      </w:r>
      <w:r w:rsidR="00461B67">
        <w:t>The teacher roles in this study will be seen from two perspective</w:t>
      </w:r>
      <w:r w:rsidR="00F11DD3">
        <w:t>s</w:t>
      </w:r>
      <w:r w:rsidR="00461B67">
        <w:t xml:space="preserve">, which are: teacher </w:t>
      </w:r>
      <w:proofErr w:type="gramStart"/>
      <w:r w:rsidR="00AA49D6">
        <w:t>supports</w:t>
      </w:r>
      <w:proofErr w:type="gramEnd"/>
      <w:r w:rsidR="00AA49D6">
        <w:t xml:space="preserve"> </w:t>
      </w:r>
      <w:r w:rsidR="00461B67">
        <w:t xml:space="preserve">and the cognitive activation given by the teacher during teaching and learning activities. </w:t>
      </w:r>
      <w:r w:rsidR="00F11DD3">
        <w:t>T</w:t>
      </w:r>
      <w:r w:rsidR="00F11DD3" w:rsidRPr="00384690">
        <w:t>his study</w:t>
      </w:r>
      <w:r w:rsidR="00F11DD3">
        <w:t xml:space="preserve"> </w:t>
      </w:r>
      <w:r w:rsidR="00F11DD3" w:rsidRPr="00384690">
        <w:t>ex</w:t>
      </w:r>
      <w:r w:rsidR="00F11DD3">
        <w:t>amined</w:t>
      </w:r>
      <w:r w:rsidR="00F11DD3" w:rsidRPr="00384690">
        <w:t xml:space="preserve"> the relationship between selected student-level (level 1) and school-level (level 2) variable that </w:t>
      </w:r>
      <w:r w:rsidR="00F11DD3">
        <w:t xml:space="preserve">affected </w:t>
      </w:r>
      <w:r w:rsidR="00F11DD3" w:rsidRPr="00384690">
        <w:t xml:space="preserve">mathematical literacy </w:t>
      </w:r>
      <w:r w:rsidR="00F11DD3">
        <w:t>ability. As results, t</w:t>
      </w:r>
      <w:r w:rsidR="00C87178">
        <w:t>eacher support</w:t>
      </w:r>
      <w:r w:rsidR="00F11DD3">
        <w:t>s</w:t>
      </w:r>
      <w:r w:rsidR="00C87178">
        <w:t xml:space="preserve"> ha</w:t>
      </w:r>
      <w:r w:rsidR="00AC0154">
        <w:t>d</w:t>
      </w:r>
      <w:r w:rsidR="00C87178">
        <w:t xml:space="preserve"> a significant effect to all student’s mathematics literacy processes (employ, formulate, and interpret) with </w:t>
      </w:r>
      <w:r w:rsidR="00C87178" w:rsidRPr="00704B0E">
        <w:rPr>
          <w:sz w:val="20"/>
        </w:rPr>
        <w:t xml:space="preserve"> </w:t>
      </w:r>
      <m:oMath>
        <m:r>
          <w:rPr>
            <w:rFonts w:ascii="Cambria Math" w:hAnsi="Cambria Math"/>
          </w:rPr>
          <m:t>ρ</m:t>
        </m:r>
        <m:r>
          <m:rPr>
            <m:sty m:val="p"/>
          </m:rPr>
          <w:rPr>
            <w:rFonts w:ascii="Cambria Math" w:hAnsi="Cambria Math"/>
          </w:rPr>
          <m:t>&lt;0.001</m:t>
        </m:r>
      </m:oMath>
      <w:r w:rsidR="00C87178">
        <w:t xml:space="preserve">. The cognitive activation given by the teacher also became the significant predictors for formulate and interpret </w:t>
      </w:r>
      <w:r w:rsidR="00AC0154">
        <w:t xml:space="preserve">processes </w:t>
      </w:r>
      <w:r w:rsidR="00AC0154" w:rsidRPr="00704B0E">
        <w:rPr>
          <w:sz w:val="20"/>
        </w:rPr>
        <w:t>(</w:t>
      </w:r>
      <m:oMath>
        <m:r>
          <w:rPr>
            <w:rFonts w:ascii="Cambria Math" w:hAnsi="Cambria Math"/>
          </w:rPr>
          <m:t>ρ</m:t>
        </m:r>
        <m:r>
          <m:rPr>
            <m:sty m:val="p"/>
          </m:rPr>
          <w:rPr>
            <w:rFonts w:ascii="Cambria Math" w:hAnsi="Cambria Math"/>
          </w:rPr>
          <m:t>&lt;0.001</m:t>
        </m:r>
      </m:oMath>
      <w:r w:rsidR="00C87178">
        <w:t>) but not for employ process (</w:t>
      </w:r>
      <m:oMath>
        <m:r>
          <w:rPr>
            <w:rFonts w:ascii="Cambria Math" w:hAnsi="Cambria Math"/>
          </w:rPr>
          <m:t xml:space="preserve">ρ&gt;0.05). </m:t>
        </m:r>
      </m:oMath>
      <w:r w:rsidR="00AC0154">
        <w:t xml:space="preserve">In contrast, the school type predictor was not significant for all mathematics literacy processes. </w:t>
      </w:r>
      <w:r w:rsidR="00AA49D6">
        <w:t>Compared to the other models, t</w:t>
      </w:r>
      <w:r w:rsidR="00AC0154">
        <w:t xml:space="preserve">he </w:t>
      </w:r>
      <w:r w:rsidR="00F11DD3" w:rsidRPr="003A38EA">
        <w:t>random intercept model</w:t>
      </w:r>
      <w:r w:rsidR="00AC0154">
        <w:t xml:space="preserve"> that used all predictors from level 1 and level 2 and assumed all the predictors were fixed</w:t>
      </w:r>
      <w:r w:rsidR="00AA49D6">
        <w:t xml:space="preserve">, has the lowest AIC and BIC so it can be said that this model </w:t>
      </w:r>
      <w:r w:rsidR="00AC0154">
        <w:t>came out as the best model</w:t>
      </w:r>
      <w:r w:rsidR="00AA49D6">
        <w:t xml:space="preserve"> </w:t>
      </w:r>
      <w:r w:rsidR="00AC0154">
        <w:t>and can be used for further data analysis.</w:t>
      </w:r>
      <w:r w:rsidR="00AA49D6">
        <w:t xml:space="preserve"> </w:t>
      </w:r>
    </w:p>
    <w:p w14:paraId="5240E3FB" w14:textId="03558E0A" w:rsidR="003A287B" w:rsidRPr="00075EA6" w:rsidRDefault="00285A67" w:rsidP="00003D7C">
      <w:pPr>
        <w:pStyle w:val="Heading1"/>
        <w:rPr>
          <w:b w:val="0"/>
          <w:caps w:val="0"/>
          <w:sz w:val="20"/>
        </w:rPr>
      </w:pPr>
      <w:r>
        <w:t>INTRODUCTION</w:t>
      </w:r>
    </w:p>
    <w:p w14:paraId="5FE1DF6B" w14:textId="00562622" w:rsidR="00327DD2" w:rsidRDefault="00891AA1" w:rsidP="00827050">
      <w:pPr>
        <w:pStyle w:val="Paragraph"/>
      </w:pPr>
      <w:r w:rsidRPr="00891AA1">
        <w:t>PISA is a triennial standardized international assessment measuring 15-years-old students’ mathematics, reading, and science literacy, organized by the Organization for Economic Cooperation and Development</w:t>
      </w:r>
      <w:r>
        <w:t xml:space="preserve"> </w:t>
      </w:r>
      <w:r>
        <w:fldChar w:fldCharType="begin" w:fldLock="1"/>
      </w:r>
      <w:r w:rsidR="00C164C6">
        <w:instrText>ADDIN CSL_CITATION {"citationItems":[{"id":"ITEM-1","itemData":{"DOI":"http://dx.doi.org/10.1787/9789264190511-en","ISBN":"978-92-64-19051-1","abstract":"Frances Tustin (1913-1994) was one of the first professionally trained child psychotherapists in Britain. Although internationally recognised for her pioneering therapeutic work with autistic children, her approach is considered by some to be controversial, as her psychogenic view of childhood autism challenged the belief that it is biological and genetic. Autistic States in Children is widely regarded as a vitally important work for understanding the causes of autism in young children. Vividly describing her clinical encounters with autistic children, Tustin argued that autistic states were above all self-protective ones. In her observational studies, she noted how autistic children’s interaction with physical objects, such as keys, toy cars, or other play items, had a rigid and ritualistic quality, far removed from the typical kind of fantasy play seen in other children. Such objects are not used by autistic children for their intended purpose, Tustin argued, but rather in sensation-dominated ways that interfere with mental development. She also drew a fundamental distinction between two autistic groups: an ‘encapsulated’ group, which is withdrawn and non-verbal, and an ‘entangled’ group, who are hyperactive and chaotic but have some language. Autistic States in Children influenced not only those in psychotherapy and psychoanalysis but countless others who have contact with autistic children, especially families, and remains essential reading for anyone seeking a creative and compelling understanding of autism. This Routledge Classics edition includes a new Foreword by Maria Rhode.","author":[{"dropping-particle":"","family":"OECD","given":"","non-dropping-particle":"","parse-names":false,"suffix":""}],"container-title":"OECD Publishing.","id":"ITEM-1","issued":{"date-parts":[["2013"]]},"number-of-pages":"1-283","title":"PISA 2012 Assessment and Analytical Framework: Mathematics, Reading, Science, Problem Solving and Financial Literacy","type":"book"},"uris":["http://www.mendeley.com/documents/?uuid=e977f20d-9c8c-4f02-b9b1-62d8eca2aed0"]}],"mendeley":{"formattedCitation":"[1]","plainTextFormattedCitation":"[1]","previouslyFormattedCitation":"[1]"},"properties":{"noteIndex":0},"schema":"https://github.com/citation-style-language/schema/raw/master/csl-citation.json"}</w:instrText>
      </w:r>
      <w:r>
        <w:fldChar w:fldCharType="separate"/>
      </w:r>
      <w:r w:rsidRPr="00891AA1">
        <w:rPr>
          <w:noProof/>
        </w:rPr>
        <w:t>[1]</w:t>
      </w:r>
      <w:r>
        <w:fldChar w:fldCharType="end"/>
      </w:r>
      <w:r>
        <w:t xml:space="preserve">. PISA is one of the examples of a </w:t>
      </w:r>
      <w:r w:rsidRPr="00327DD2">
        <w:t>Large-Scale Assessment (LSA</w:t>
      </w:r>
      <w:r>
        <w:t>). LSA</w:t>
      </w:r>
      <w:r w:rsidR="00327DD2" w:rsidRPr="00327DD2">
        <w:t xml:space="preserve"> is an assessment involving </w:t>
      </w:r>
      <w:proofErr w:type="gramStart"/>
      <w:r w:rsidR="00327DD2" w:rsidRPr="00327DD2">
        <w:t>a large number of</w:t>
      </w:r>
      <w:proofErr w:type="gramEnd"/>
      <w:r w:rsidR="00327DD2" w:rsidRPr="00327DD2">
        <w:t xml:space="preserve"> participants and may be a sub-national assessment in a densely populated country but is more likely to be a national, regional or international assessment. Data from the LSA provides information about the extent to which students of a certain age or class in an education system learn the expected competencies. In addition, the data from the LSA can be used to assess differences in attainment levels by sub-group such as region and the factors that correlate with different attainment levels. Thus, the general aim of participation in LSA is to obtain information about the education system's outcomes and related factors, which, in turn, can assist policy makers and other stakeholders in the education system in making policy and resource decisions for improvement</w:t>
      </w:r>
      <w:r w:rsidR="00C164C6">
        <w:t xml:space="preserve"> </w:t>
      </w:r>
      <w:r w:rsidR="00C164C6">
        <w:fldChar w:fldCharType="begin" w:fldLock="1"/>
      </w:r>
      <w:r w:rsidR="007D3D92">
        <w:instrText>ADDIN CSL_CITATION {"citationItems":[{"id":"ITEM-1","itemData":{"DOI":"10.1002/9781118762462","ISBN":"9781118336090","abstract":"Presents a comprehensive treatment of issues related to the inception, design, implementation and reporting of large-scale education assessments. In recent years many countries have decided to become involved in international educational assessments to allow them to ascertain the strengths and weaknesses of their student populations. Assessments such as the OECDs Programme for International Student Assessment (PISA), the IEAs Trends in Mathematics and Science Study (TIMSS) and Progress in International Reading Literacy (PIRLS) have provided opportunities for comparison between students of different countries on a common international scale. This book is designed to give researchers, policy makers and practitioners a well-grounded knowledge in the design, implementation, analysis and reporting of international assessments. Readers will be able to gain a more detailed insight into the scientific principles employed in such studies allowing them to make better use of the results. The book will also give readers an understanding of the resources needed to undertake and improve the design of educational assessments in their own countries and regions. Implementation of Large-Scale Education Assessments: Brings together the editors extensive experience in creating, designing, implementing, analysing and reporting results on a wide range of assessments. Emphasizes methods for implementing international studies of student achievement and obtaining highquality data from cognitive tests and contextual questionnaires. Discusses the methods of sampling, weighting, and variance estimation that are commonly encountered in international large-scale assessments. Provides direction and stimulus for improving global educational assessment and student learning Is written by experts in the field, with an international perspective. Survey researchers, market researchers and practitioners engaged in comparative projects will all benefit from the unparalleled breadth of knowledge and experience in large-scale educational assessments gathered in this one volume.","author":[{"dropping-particle":"","family":"Lietz","given":"Petra","non-dropping-particle":"","parse-names":false,"suffix":""},{"dropping-particle":"","family":"Cresswell","given":"John C.","non-dropping-particle":"","parse-names":false,"suffix":""},{"dropping-particle":"","family":"Rust","given":"Keith F.","non-dropping-particle":"","parse-names":false,"suffix":""},{"dropping-particle":"","family":"Adams","given":"Raymond J.","non-dropping-particle":"","parse-names":false,"suffix":""}],"chapter-number":"1","container-title":"Implementation of Large-Scale Education Assessments","id":"ITEM-1","issued":{"date-parts":[["2017"]]},"title":"Implementation of Large-Scale Education Assessments","type":"chapter"},"uris":["http://www.mendeley.com/documents/?uuid=cbce2dc3-e434-4380-a6c6-7504cd9b1cfa"]}],"mendeley":{"formattedCitation":"[2]","plainTextFormattedCitation":"[2]","previouslyFormattedCitation":"[2]"},"properties":{"noteIndex":0},"schema":"https://github.com/citation-style-language/schema/raw/master/csl-citation.json"}</w:instrText>
      </w:r>
      <w:r w:rsidR="00C164C6">
        <w:fldChar w:fldCharType="separate"/>
      </w:r>
      <w:r w:rsidR="00C164C6" w:rsidRPr="00C164C6">
        <w:rPr>
          <w:noProof/>
        </w:rPr>
        <w:t>[2]</w:t>
      </w:r>
      <w:r w:rsidR="00C164C6">
        <w:fldChar w:fldCharType="end"/>
      </w:r>
      <w:r w:rsidR="00C164C6">
        <w:t xml:space="preserve">. </w:t>
      </w:r>
    </w:p>
    <w:p w14:paraId="040185F0" w14:textId="77777777" w:rsidR="00EB3BC7" w:rsidRDefault="00EB3BC7" w:rsidP="00827050">
      <w:pPr>
        <w:pStyle w:val="Paragraph"/>
      </w:pPr>
    </w:p>
    <w:p w14:paraId="028E8A39" w14:textId="5F560C3C" w:rsidR="007C1785" w:rsidRDefault="007C1785" w:rsidP="00827050">
      <w:pPr>
        <w:pStyle w:val="Paragraph"/>
      </w:pPr>
      <w:r>
        <w:t xml:space="preserve">As mentioned on the previous paragraph, </w:t>
      </w:r>
      <w:r w:rsidR="00D7042A">
        <w:t xml:space="preserve">we can also get additional information related to educational system from the PISA data. </w:t>
      </w:r>
      <w:r w:rsidR="0078486F">
        <w:t>This study</w:t>
      </w:r>
      <w:r w:rsidR="0078486F" w:rsidRPr="0078486F">
        <w:t xml:space="preserve"> will </w:t>
      </w:r>
      <w:r w:rsidR="0078486F">
        <w:t>focus on</w:t>
      </w:r>
      <w:r w:rsidR="0078486F" w:rsidRPr="0078486F">
        <w:t xml:space="preserve"> the influence of teacher factors at the student and </w:t>
      </w:r>
      <w:r w:rsidR="0078486F">
        <w:t>the school type</w:t>
      </w:r>
      <w:r w:rsidR="0078486F" w:rsidRPr="0078486F">
        <w:t xml:space="preserve"> on students' mathematical literacy abilities. PISA defines mathematical literacy as an individual's capacity to formulate, </w:t>
      </w:r>
      <w:r w:rsidR="0078486F" w:rsidRPr="0078486F">
        <w:lastRenderedPageBreak/>
        <w:t>employ, and interpret mathematics in various contexts. The word formulate refers to an individual's ability to recognize and identify opportunities to use mathematics and to use multiple mathematical representations in solving contextual problems. Th</w:t>
      </w:r>
      <w:r w:rsidR="004E13DE">
        <w:t>e</w:t>
      </w:r>
      <w:r w:rsidR="0078486F" w:rsidRPr="0078486F">
        <w:t xml:space="preserve"> formulate ability includes the ability to present problems in the form of tables or graphs and the ability to create mathematical models from given contextual problems. The word employ in the definition of mathematical literacy refers to individuals who </w:t>
      </w:r>
      <w:r w:rsidR="004E13DE" w:rsidRPr="0078486F">
        <w:t>can</w:t>
      </w:r>
      <w:r w:rsidR="0078486F" w:rsidRPr="0078486F">
        <w:t xml:space="preserve"> apply concepts, facts, procedures, and mathematical reasoning to solve problems formulated mathematically to obtain mathematical conclusions. The word interpret focuses on an individual's ability to reflect on a mathematical solution, result, or conclusion and interpret it in the context of a real-life problem. This can be interpreted as an activity to re-translate the mathematical solution obtained into the context of a given problem and determine whether the results make sense or not</w:t>
      </w:r>
      <w:r w:rsidR="007D3D92">
        <w:t xml:space="preserve"> </w:t>
      </w:r>
      <w:r w:rsidR="007D3D92">
        <w:fldChar w:fldCharType="begin" w:fldLock="1"/>
      </w:r>
      <w:r w:rsidR="004B2D86">
        <w:instrText>ADDIN CSL_CITATION {"citationItems":[{"id":"ITEM-1","itemData":{"DOI":"http://dx.doi.org/10.1787/9789264190511-en","ISBN":"978-92-64-19051-1","abstract":"Frances Tustin (1913-1994) was one of the first professionally trained child psychotherapists in Britain. Although internationally recognised for her pioneering therapeutic work with autistic children, her approach is considered by some to be controversial, as her psychogenic view of childhood autism challenged the belief that it is biological and genetic. Autistic States in Children is widely regarded as a vitally important work for understanding the causes of autism in young children. Vividly describing her clinical encounters with autistic children, Tustin argued that autistic states were above all self-protective ones. In her observational studies, she noted how autistic children’s interaction with physical objects, such as keys, toy cars, or other play items, had a rigid and ritualistic quality, far removed from the typical kind of fantasy play seen in other children. Such objects are not used by autistic children for their intended purpose, Tustin argued, but rather in sensation-dominated ways that interfere with mental development. She also drew a fundamental distinction between two autistic groups: an ‘encapsulated’ group, which is withdrawn and non-verbal, and an ‘entangled’ group, who are hyperactive and chaotic but have some language. Autistic States in Children influenced not only those in psychotherapy and psychoanalysis but countless others who have contact with autistic children, especially families, and remains essential reading for anyone seeking a creative and compelling understanding of autism. This Routledge Classics edition includes a new Foreword by Maria Rhode.","author":[{"dropping-particle":"","family":"OECD","given":"","non-dropping-particle":"","parse-names":false,"suffix":""}],"container-title":"OECD Publishing.","id":"ITEM-1","issued":{"date-parts":[["2013"]]},"number-of-pages":"1-283","title":"PISA 2012 Assessment and Analytical Framework: Mathematics, Reading, Science, Problem Solving and Financial Literacy","type":"book"},"uris":["http://www.mendeley.com/documents/?uuid=e977f20d-9c8c-4f02-b9b1-62d8eca2aed0"]}],"mendeley":{"formattedCitation":"[1]","plainTextFormattedCitation":"[1]","previouslyFormattedCitation":"[1]"},"properties":{"noteIndex":0},"schema":"https://github.com/citation-style-language/schema/raw/master/csl-citation.json"}</w:instrText>
      </w:r>
      <w:r w:rsidR="007D3D92">
        <w:fldChar w:fldCharType="separate"/>
      </w:r>
      <w:r w:rsidR="007D3D92" w:rsidRPr="007D3D92">
        <w:rPr>
          <w:noProof/>
        </w:rPr>
        <w:t>[1]</w:t>
      </w:r>
      <w:r w:rsidR="007D3D92">
        <w:fldChar w:fldCharType="end"/>
      </w:r>
      <w:r w:rsidR="0078486F" w:rsidRPr="0078486F">
        <w:t>. For details, fig. 1 below shows an example of the formulate-employ-interpret process in solving contextual problems.</w:t>
      </w:r>
    </w:p>
    <w:p w14:paraId="2A18FE30" w14:textId="77777777" w:rsidR="00327DD2" w:rsidRDefault="00327DD2" w:rsidP="00827050">
      <w:pPr>
        <w:pStyle w:val="Paragraph"/>
      </w:pPr>
    </w:p>
    <w:p w14:paraId="696F98C8" w14:textId="5779B35A" w:rsidR="00327DD2" w:rsidRDefault="007D3D92" w:rsidP="007D3D92">
      <w:pPr>
        <w:pStyle w:val="Paragraph"/>
        <w:ind w:firstLine="0"/>
        <w:jc w:val="center"/>
      </w:pPr>
      <w:r w:rsidRPr="000B41F5">
        <w:rPr>
          <w:noProof/>
        </w:rPr>
        <w:drawing>
          <wp:inline distT="0" distB="0" distL="0" distR="0" wp14:anchorId="4BB24A45" wp14:editId="25856D7F">
            <wp:extent cx="5042263" cy="3797632"/>
            <wp:effectExtent l="0" t="0" r="0"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Lst>
                    </a:blip>
                    <a:srcRect l="13508" r="16241"/>
                    <a:stretch/>
                  </pic:blipFill>
                  <pic:spPr bwMode="auto">
                    <a:xfrm>
                      <a:off x="0" y="0"/>
                      <a:ext cx="5079516" cy="3825689"/>
                    </a:xfrm>
                    <a:prstGeom prst="rect">
                      <a:avLst/>
                    </a:prstGeom>
                    <a:ln>
                      <a:noFill/>
                    </a:ln>
                    <a:extLst>
                      <a:ext uri="{53640926-AAD7-44D8-BBD7-CCE9431645EC}">
                        <a14:shadowObscured xmlns:a14="http://schemas.microsoft.com/office/drawing/2010/main"/>
                      </a:ext>
                    </a:extLst>
                  </pic:spPr>
                </pic:pic>
              </a:graphicData>
            </a:graphic>
          </wp:inline>
        </w:drawing>
      </w:r>
    </w:p>
    <w:p w14:paraId="72E25CA2" w14:textId="55593312" w:rsidR="007D3D92" w:rsidRPr="007D3D92" w:rsidRDefault="007D3D92" w:rsidP="007D3D92">
      <w:pPr>
        <w:pStyle w:val="Paragraph"/>
        <w:ind w:firstLine="0"/>
        <w:jc w:val="center"/>
        <w:rPr>
          <w:sz w:val="18"/>
          <w:szCs w:val="18"/>
        </w:rPr>
      </w:pPr>
      <w:r w:rsidRPr="007D3D92">
        <w:rPr>
          <w:b/>
          <w:caps/>
          <w:sz w:val="18"/>
          <w:szCs w:val="18"/>
        </w:rPr>
        <w:t>Figure 1.</w:t>
      </w:r>
      <w:r w:rsidRPr="007D3D92">
        <w:rPr>
          <w:sz w:val="18"/>
          <w:szCs w:val="18"/>
        </w:rPr>
        <w:t xml:space="preserve"> The process of formulate-employ-interpret when solving mathematics problem.</w:t>
      </w:r>
      <w:r w:rsidR="00BA09ED">
        <w:rPr>
          <w:sz w:val="18"/>
          <w:szCs w:val="18"/>
        </w:rPr>
        <w:t xml:space="preserve"> </w:t>
      </w:r>
      <w:r w:rsidR="00BA09ED">
        <w:rPr>
          <w:sz w:val="18"/>
          <w:szCs w:val="18"/>
        </w:rPr>
        <w:fldChar w:fldCharType="begin" w:fldLock="1"/>
      </w:r>
      <w:r w:rsidR="00A57E26">
        <w:rPr>
          <w:sz w:val="18"/>
          <w:szCs w:val="18"/>
        </w:rPr>
        <w:instrText>ADDIN CSL_CITATION {"citationItems":[{"id":"ITEM-1","itemData":{"DOI":"http://dx.doi.org/10.1787/9789264190511-en","ISBN":"978-92-64-19051-1","abstract":"Frances Tustin (1913-1994) was one of the first professionally trained child psychotherapists in Britain. Although internationally recognised for her pioneering therapeutic work with autistic children, her approach is considered by some to be controversial, as her psychogenic view of childhood autism challenged the belief that it is biological and genetic. Autistic States in Children is widely regarded as a vitally important work for understanding the causes of autism in young children. Vividly describing her clinical encounters with autistic children, Tustin argued that autistic states were above all self-protective ones. In her observational studies, she noted how autistic children’s interaction with physical objects, such as keys, toy cars, or other play items, had a rigid and ritualistic quality, far removed from the typical kind of fantasy play seen in other children. Such objects are not used by autistic children for their intended purpose, Tustin argued, but rather in sensation-dominated ways that interfere with mental development. She also drew a fundamental distinction between two autistic groups: an ‘encapsulated’ group, which is withdrawn and non-verbal, and an ‘entangled’ group, who are hyperactive and chaotic but have some language. Autistic States in Children influenced not only those in psychotherapy and psychoanalysis but countless others who have contact with autistic children, especially families, and remains essential reading for anyone seeking a creative and compelling understanding of autism. This Routledge Classics edition includes a new Foreword by Maria Rhode.","author":[{"dropping-particle":"","family":"OECD","given":"","non-dropping-particle":"","parse-names":false,"suffix":""}],"container-title":"OECD Publishing.","id":"ITEM-1","issued":{"date-parts":[["2013"]]},"number-of-pages":"1-283","title":"PISA 2012 Assessment and Analytical Framework: Mathematics, Reading, Science, Problem Solving and Financial Literacy","type":"book"},"uris":["http://www.mendeley.com/documents/?uuid=e977f20d-9c8c-4f02-b9b1-62d8eca2aed0"]}],"mendeley":{"formattedCitation":"[1]","plainTextFormattedCitation":"[1]","previouslyFormattedCitation":"[1]"},"properties":{"noteIndex":0},"schema":"https://github.com/citation-style-language/schema/raw/master/csl-citation.json"}</w:instrText>
      </w:r>
      <w:r w:rsidR="00BA09ED">
        <w:rPr>
          <w:sz w:val="18"/>
          <w:szCs w:val="18"/>
        </w:rPr>
        <w:fldChar w:fldCharType="separate"/>
      </w:r>
      <w:r w:rsidR="00BA09ED" w:rsidRPr="00BA09ED">
        <w:rPr>
          <w:noProof/>
          <w:sz w:val="18"/>
          <w:szCs w:val="18"/>
        </w:rPr>
        <w:t>[1]</w:t>
      </w:r>
      <w:r w:rsidR="00BA09ED">
        <w:rPr>
          <w:sz w:val="18"/>
          <w:szCs w:val="18"/>
        </w:rPr>
        <w:fldChar w:fldCharType="end"/>
      </w:r>
    </w:p>
    <w:p w14:paraId="694BB4D3" w14:textId="4014965B" w:rsidR="00327DD2" w:rsidRDefault="00327DD2" w:rsidP="00827050">
      <w:pPr>
        <w:pStyle w:val="Paragraph"/>
      </w:pPr>
    </w:p>
    <w:p w14:paraId="1C92F6A3" w14:textId="0AB78D77" w:rsidR="004B2D86" w:rsidRPr="00A83A6F" w:rsidRDefault="003D1800" w:rsidP="00A83A6F">
      <w:pPr>
        <w:pStyle w:val="Paragraph"/>
      </w:pPr>
      <w:r w:rsidRPr="003D1800">
        <w:t>The discussion in this article will focus on the role</w:t>
      </w:r>
      <w:r>
        <w:t>s</w:t>
      </w:r>
      <w:r w:rsidRPr="003D1800">
        <w:t xml:space="preserve"> of the teacher</w:t>
      </w:r>
      <w:r>
        <w:t>s during the teaching and learning</w:t>
      </w:r>
      <w:r w:rsidRPr="003D1800">
        <w:t xml:space="preserve"> mathematics </w:t>
      </w:r>
      <w:r>
        <w:t xml:space="preserve">activities </w:t>
      </w:r>
      <w:r w:rsidRPr="003D1800">
        <w:t>and its effect on students' mathematical literacy skills. The teacher's role</w:t>
      </w:r>
      <w:r>
        <w:t>s</w:t>
      </w:r>
      <w:r w:rsidRPr="003D1800">
        <w:t xml:space="preserve"> in </w:t>
      </w:r>
      <w:r>
        <w:t xml:space="preserve">this study are about </w:t>
      </w:r>
      <w:r w:rsidRPr="003D1800">
        <w:t>teacher support</w:t>
      </w:r>
      <w:r>
        <w:t xml:space="preserve"> and the </w:t>
      </w:r>
      <w:r w:rsidRPr="003D1800">
        <w:t xml:space="preserve">cognitive activation </w:t>
      </w:r>
      <w:r>
        <w:t>activities given</w:t>
      </w:r>
      <w:r w:rsidRPr="003D1800">
        <w:t xml:space="preserve"> by teachers </w:t>
      </w:r>
      <w:r>
        <w:t xml:space="preserve">in the classroom. </w:t>
      </w:r>
      <w:r w:rsidRPr="003D1800">
        <w:t>The success of students in learning in the classroom is influenced by the learning environment which includes teacher support. The results show that when teachers provide emotional and academic support for students, such as providing direction and guidance, clarifying learning objectives, and supporting student safety and well-being during learning, students will increase student engagement in learning which will be linear with student achievement in class</w:t>
      </w:r>
      <w:r w:rsidR="004B2D86">
        <w:t xml:space="preserve"> </w:t>
      </w:r>
      <w:r w:rsidR="004B2D86">
        <w:fldChar w:fldCharType="begin" w:fldLock="1"/>
      </w:r>
      <w:r w:rsidR="00BA09ED">
        <w:instrText>ADDIN CSL_CITATION {"citationItems":[{"id":"ITEM-1","itemData":{"DOI":"10.1016/j.ijer.2015.06.008","ISSN":"08830355","abstract":"In this study we analyzed if teacher support and student self-efficacy mediated the relations between students' grades in mathematics and different measures of mathematics motivation. Participants in the study were 823 Norwegian middle school students. Indicators of motivation were intrinsic motivation, effort, persistence, and help-seeking behavior. Data were analyzed by means of multiple regression and SEM analysis. The relations between students' grades and motivation were partly mediated through emotional support and self-efficacy.","author":[{"dropping-particle":"","family":"Skaalvik","given":"Einar M.","non-dropping-particle":"","parse-names":false,"suffix":""},{"dropping-particle":"","family":"Federici","given":"Roger A.","non-dropping-particle":"","parse-names":false,"suffix":""},{"dropping-particle":"","family":"Klassen","given":"Robert M.","non-dropping-particle":"","parse-names":false,"suffix":""}],"container-title":"International Journal of Educational Research","id":"ITEM-1","issued":{"date-parts":[["2015"]]},"page":"129-136","publisher":"Elsevier Ltd","title":"Mathematics achievement and self-efficacy: Relations with motivation for mathematics","type":"article-journal","volume":"72"},"uris":["http://www.mendeley.com/documents/?uuid=926cde04-f514-469e-ba08-18b3a2f13059"]}],"mendeley":{"formattedCitation":"[3]","plainTextFormattedCitation":"[3]","previouslyFormattedCitation":"[3]"},"properties":{"noteIndex":0},"schema":"https://github.com/citation-style-language/schema/raw/master/csl-citation.json"}</w:instrText>
      </w:r>
      <w:r w:rsidR="004B2D86">
        <w:fldChar w:fldCharType="separate"/>
      </w:r>
      <w:r w:rsidR="004B2D86" w:rsidRPr="004B2D86">
        <w:rPr>
          <w:noProof/>
        </w:rPr>
        <w:t>[3]</w:t>
      </w:r>
      <w:r w:rsidR="004B2D86">
        <w:fldChar w:fldCharType="end"/>
      </w:r>
      <w:r w:rsidR="004B2D86">
        <w:t xml:space="preserve">. </w:t>
      </w:r>
      <w:r w:rsidR="00A57E26" w:rsidRPr="00A57E26">
        <w:t>There are many factors affected student achievement, such as student ability, family socioeconomic status, teacher, curriculum, and the school climate.</w:t>
      </w:r>
      <w:r w:rsidR="00A57E26">
        <w:fldChar w:fldCharType="begin" w:fldLock="1"/>
      </w:r>
      <w:r w:rsidR="00A57E26">
        <w:instrText>ADDIN CSL_CITATION {"citationItems":[{"id":"ITEM-1","itemData":{"DOI":"10.4324/9780203887332","ISBN":"0203887336","abstract":"This unique and ground-breaking book is the result of 15 years research and synthesises over 800 meta-analyses on the influences on achievement in school-aged students. It builds a story about the power of teachers, feedback, and a model of learning and understanding. The research involves many millions of students and represents the largest ever evidence based research into what actually works in schools to improve learning. Areas covered include the influence of the student, home, school, curricula, teacher, and teaching strategies. A model of teaching and learning is developed based on the notion of visible teaching and visible learning. A major message is that what works best for students is similar to what works best for teachers - an attention to setting challenging learning intentions, being clear about what success means, and an attention to learning strategies for developing conceptual understanding about what teachers and students know and understand. Although the current evidence based fad has turned into a debate about test scores, this book is about using evidence to build and defend a model of teaching and learning. A major contribution is a fascinating benchmark/dashboard for comparing many innovations in teaching and schools.","author":[{"dropping-particle":"","family":"Hattie","given":"John","non-dropping-particle":"","parse-names":false,"suffix":""}],"container-title":"Visible Learning: A Synthesis of Over 800 Meta-Analyses Relating to Achievement","id":"ITEM-1","issued":{"date-parts":[["2008"]]},"number-of-pages":"1-378","title":"Visible learning: A synthesis of over 800 meta-analyses relating to achievement","type":"book"},"uris":["http://www.mendeley.com/documents/?uuid=157329d6-b94e-4836-be21-2ac486434be8"]}],"mendeley":{"formattedCitation":"[4]","plainTextFormattedCitation":"[4]","previouslyFormattedCitation":"[4]"},"properties":{"noteIndex":0},"schema":"https://github.com/citation-style-language/schema/raw/master/csl-citation.json"}</w:instrText>
      </w:r>
      <w:r w:rsidR="00A57E26">
        <w:fldChar w:fldCharType="separate"/>
      </w:r>
      <w:r w:rsidR="00A57E26" w:rsidRPr="00A57E26">
        <w:rPr>
          <w:noProof/>
        </w:rPr>
        <w:t>[4]</w:t>
      </w:r>
      <w:r w:rsidR="00A57E26">
        <w:fldChar w:fldCharType="end"/>
      </w:r>
      <w:r w:rsidR="00A57E26" w:rsidRPr="00A57E26">
        <w:t xml:space="preserve"> From those factors, teachers have an important role for improving student academic performance. Teacher activities in the classroom affect the students' learning opportunities. For example, teacher sets different learning objectives, different time allocation on each topic, the different type of questions and assignments that given to the students, the types of discussion that teacher make during classroom activities, all of them will affect students learning styles and their topic mastery, so all of them will affect the students’ learning outcomes</w:t>
      </w:r>
      <w:r w:rsidR="00A57E26">
        <w:t xml:space="preserve"> </w:t>
      </w:r>
      <w:r w:rsidR="00A57E26">
        <w:fldChar w:fldCharType="begin" w:fldLock="1"/>
      </w:r>
      <w:r w:rsidR="00AB2E9D">
        <w:instrText>ADDIN CSL_CITATION {"citationItems":[{"id":"ITEM-1","itemData":{"DOI":"10.1080/00220671.2016.1204260","ISSN":"19400675","abstract":"The authors examined the relationships among teacher classroom practices, student motivation, and mathematics achievement in high school. The data for this study was drawn from the base-year data of High School Longitudinal Study of 2009. Structural equation modeling method was used to estimate the relationships among variables. The results indicate that conceptual teaching positively affected student mathematics achievement, whereas procedural emphasis in mathematics instruction had a negative effect. Teacher support influenced student mathematics achievement indirectly through students' mathematics self-efficacy, and also influenced students' interest in mathematics courses. Finally, students with higher levels of family socioeconomic status and prior achievement were more likely to have teachers who use conceptual teaching strategies. Students with higher prior achievement were also more likely to perceive higher levels of teacher support. The findings have theoretical and practical implications.","author":[{"dropping-particle":"","family":"Yu","given":"Rongrong","non-dropping-particle":"","parse-names":false,"suffix":""},{"dropping-particle":"","family":"Singh","given":"Kusum","non-dropping-particle":"","parse-names":false,"suffix":""}],"container-title":"Journal of Educational Research","id":"ITEM-1","issue":"1","issued":{"date-parts":[["2018"]]},"page":"81-94","publisher":"Taylor &amp; Francis","title":"Teacher support, instructional practices, student motivation, and mathematics achievement in high school","type":"article-journal","volume":"111"},"uris":["http://www.mendeley.com/documents/?uuid=eb6180a6-415e-4371-9fce-9426a4242e54"]}],"mendeley":{"formattedCitation":"[5]","plainTextFormattedCitation":"[5]","previouslyFormattedCitation":"[5]"},"properties":{"noteIndex":0},"schema":"https://github.com/citation-style-language/schema/raw/master/csl-citation.json"}</w:instrText>
      </w:r>
      <w:r w:rsidR="00A57E26">
        <w:fldChar w:fldCharType="separate"/>
      </w:r>
      <w:r w:rsidR="00A57E26" w:rsidRPr="00A57E26">
        <w:rPr>
          <w:noProof/>
        </w:rPr>
        <w:t>[5]</w:t>
      </w:r>
      <w:r w:rsidR="00A57E26">
        <w:fldChar w:fldCharType="end"/>
      </w:r>
      <w:r w:rsidR="00A57E26" w:rsidRPr="00A57E26">
        <w:t xml:space="preserve">. </w:t>
      </w:r>
      <w:r w:rsidR="00C64C59" w:rsidRPr="00C64C59">
        <w:t>Teacher support can be defined as student’s thought that their teachers are taking care of them, giving them respect, understanding them, and willing to help them during the lesson. When students aware that their teachers are supportive, it will make students enjoy and gain high interest in their classroom activities</w:t>
      </w:r>
      <w:r w:rsidR="00C64C59">
        <w:t xml:space="preserve"> </w:t>
      </w:r>
      <w:r w:rsidR="00A83A6F">
        <w:fldChar w:fldCharType="begin" w:fldLock="1"/>
      </w:r>
      <w:r w:rsidR="00A83A6F">
        <w:instrText>ADDIN CSL_CITATION {"citationItems":[{"id":"ITEM-1","itemData":{"DOI":"10.1037/0022-0663.99.1.83","ISSN":"00220663","abstract":"This research examined whether 5th-grade students' (N = 602) perceptions of the classroom social environment (teacher support, promotion of mutual respect, promotion of task-related interaction, student support) were related to their engagement in the classroom (self-regulation and task-related interaction) and whether those relations were mediated by personal motivational beliefs (mastery goals, academic and social efficacy). Teacher support, promotion of interaction, and student support were related to both types of engagement, and those relations were fully or partially mediated by motivational beliefs. Relations with promoting mutual respect were not significant. Copyright 2007 by the American Psychological Association.","author":[{"dropping-particle":"","family":"Patrick","given":"Helen","non-dropping-particle":"","parse-names":false,"suffix":""},{"dropping-particle":"","family":"Ryan","given":"Allison M.","non-dropping-particle":"","parse-names":false,"suffix":""},{"dropping-particle":"","family":"Kaplan","given":"Avi","non-dropping-particle":"","parse-names":false,"suffix":""}],"container-title":"Journal of Educational Psychology","id":"ITEM-1","issue":"1","issued":{"date-parts":[["2007"]]},"page":"83-98","title":"Early adolescents' perceptions of the classroom social environment, motivational beliefs, and engagement","type":"article-journal","volume":"99"},"uris":["http://www.mendeley.com/documents/?uuid=58251dd4-e11e-4c86-a1b8-03833447656a"]}],"mendeley":{"formattedCitation":"[6]","plainTextFormattedCitation":"[6]","previouslyFormattedCitation":"[6]"},"properties":{"noteIndex":0},"schema":"https://github.com/citation-style-language/schema/raw/master/csl-citation.json"}</w:instrText>
      </w:r>
      <w:r w:rsidR="00A83A6F">
        <w:fldChar w:fldCharType="separate"/>
      </w:r>
      <w:r w:rsidR="00A83A6F" w:rsidRPr="00A83A6F">
        <w:rPr>
          <w:noProof/>
        </w:rPr>
        <w:t>[6]</w:t>
      </w:r>
      <w:r w:rsidR="00A83A6F">
        <w:fldChar w:fldCharType="end"/>
      </w:r>
      <w:r w:rsidR="00C64C59" w:rsidRPr="00C64C59">
        <w:t>. Supportive teachers also will improve student</w:t>
      </w:r>
      <w:r w:rsidR="00C64C59">
        <w:t>s’</w:t>
      </w:r>
      <w:r w:rsidR="00C64C59" w:rsidRPr="00C64C59">
        <w:t xml:space="preserve"> self-</w:t>
      </w:r>
      <w:r w:rsidR="00C64C59" w:rsidRPr="00C64C59">
        <w:lastRenderedPageBreak/>
        <w:t>efficacy, students’ expectation to be successful in the classroom, and students</w:t>
      </w:r>
      <w:r w:rsidR="00C64C59">
        <w:t>’</w:t>
      </w:r>
      <w:r w:rsidR="00C64C59" w:rsidRPr="00C64C59">
        <w:t xml:space="preserve"> motivation</w:t>
      </w:r>
      <w:r w:rsidR="00A83A6F">
        <w:t xml:space="preserve"> </w:t>
      </w:r>
      <w:r w:rsidR="00A83A6F">
        <w:fldChar w:fldCharType="begin" w:fldLock="1"/>
      </w:r>
      <w:r w:rsidR="00E15830">
        <w:instrText>ADDIN CSL_CITATION {"citationItems":[{"id":"ITEM-1","itemData":{"DOI":"10.1080/00220671.2016.1204260","ISSN":"19400675","abstract":"The authors examined the relationships among teacher classroom practices, student motivation, and mathematics achievement in high school. The data for this study was drawn from the base-year data of High School Longitudinal Study of 2009. Structural equation modeling method was used to estimate the relationships among variables. The results indicate that conceptual teaching positively affected student mathematics achievement, whereas procedural emphasis in mathematics instruction had a negative effect. Teacher support influenced student mathematics achievement indirectly through students' mathematics self-efficacy, and also influenced students' interest in mathematics courses. Finally, students with higher levels of family socioeconomic status and prior achievement were more likely to have teachers who use conceptual teaching strategies. Students with higher prior achievement were also more likely to perceive higher levels of teacher support. The findings have theoretical and practical implications.","author":[{"dropping-particle":"","family":"Yu","given":"Rongrong","non-dropping-particle":"","parse-names":false,"suffix":""},{"dropping-particle":"","family":"Singh","given":"Kusum","non-dropping-particle":"","parse-names":false,"suffix":""}],"container-title":"Journal of Educational Research","id":"ITEM-1","issue":"1","issued":{"date-parts":[["2018"]]},"page":"81-94","publisher":"Taylor &amp; Francis","title":"Teacher support, instructional practices, student motivation, and mathematics achievement in high school","type":"article-journal","volume":"111"},"uris":["http://www.mendeley.com/documents/?uuid=eb6180a6-415e-4371-9fce-9426a4242e54"]}],"mendeley":{"formattedCitation":"[5]","plainTextFormattedCitation":"[5]","previouslyFormattedCitation":"[5]"},"properties":{"noteIndex":0},"schema":"https://github.com/citation-style-language/schema/raw/master/csl-citation.json"}</w:instrText>
      </w:r>
      <w:r w:rsidR="00A83A6F">
        <w:fldChar w:fldCharType="separate"/>
      </w:r>
      <w:r w:rsidR="00A83A6F" w:rsidRPr="00A83A6F">
        <w:rPr>
          <w:noProof/>
        </w:rPr>
        <w:t>[5]</w:t>
      </w:r>
      <w:r w:rsidR="00A83A6F">
        <w:fldChar w:fldCharType="end"/>
      </w:r>
      <w:r w:rsidR="00C64C59" w:rsidRPr="00C64C59">
        <w:t xml:space="preserve">. </w:t>
      </w:r>
      <w:r w:rsidR="00A57E26" w:rsidRPr="00A57E26">
        <w:t>There are some previous studies related to teacher support and its relation to students’ achievement. Some studies show the positive effects of teacher support to students’ mathematics achievement or students’ mathematics literacy ability</w:t>
      </w:r>
      <w:r w:rsidR="008B0136">
        <w:t xml:space="preserve"> </w:t>
      </w:r>
      <w:r w:rsidR="00AB2E9D">
        <w:fldChar w:fldCharType="begin" w:fldLock="1"/>
      </w:r>
      <w:r w:rsidR="00AB2E9D">
        <w:instrText>ADDIN CSL_CITATION {"citationItems":[{"id":"ITEM-1","itemData":{"DOI":"10.1080/00220671.2016.1204260","ISSN":"19400675","abstract":"The authors examined the relationships among teacher classroom practices, student motivation, and mathematics achievement in high school. The data for this study was drawn from the base-year data of High School Longitudinal Study of 2009. Structural equation modeling method was used to estimate the relationships among variables. The results indicate that conceptual teaching positively affected student mathematics achievement, whereas procedural emphasis in mathematics instruction had a negative effect. Teacher support influenced student mathematics achievement indirectly through students' mathematics self-efficacy, and also influenced students' interest in mathematics courses. Finally, students with higher levels of family socioeconomic status and prior achievement were more likely to have teachers who use conceptual teaching strategies. Students with higher prior achievement were also more likely to perceive higher levels of teacher support. The findings have theoretical and practical implications.","author":[{"dropping-particle":"","family":"Yu","given":"Rongrong","non-dropping-particle":"","parse-names":false,"suffix":""},{"dropping-particle":"","family":"Singh","given":"Kusum","non-dropping-particle":"","parse-names":false,"suffix":""}],"container-title":"Journal of Educational Research","id":"ITEM-1","issue":"1","issued":{"date-parts":[["2018"]]},"page":"81-94","publisher":"Taylor &amp; Francis","title":"Teacher support, instructional practices, student motivation, and mathematics achievement in high school","type":"article-journal","volume":"111"},"uris":["http://www.mendeley.com/documents/?uuid=eb6180a6-415e-4371-9fce-9426a4242e54"]}],"mendeley":{"formattedCitation":"[5]","plainTextFormattedCitation":"[5]","previouslyFormattedCitation":"[5]"},"properties":{"noteIndex":0},"schema":"https://github.com/citation-style-language/schema/raw/master/csl-citation.json"}</w:instrText>
      </w:r>
      <w:r w:rsidR="00AB2E9D">
        <w:fldChar w:fldCharType="separate"/>
      </w:r>
      <w:r w:rsidR="00AB2E9D" w:rsidRPr="00AB2E9D">
        <w:rPr>
          <w:noProof/>
        </w:rPr>
        <w:t>[5]</w:t>
      </w:r>
      <w:r w:rsidR="00AB2E9D">
        <w:fldChar w:fldCharType="end"/>
      </w:r>
      <w:r w:rsidR="00AB2E9D">
        <w:fldChar w:fldCharType="begin" w:fldLock="1"/>
      </w:r>
      <w:r w:rsidR="00A83A6F">
        <w:instrText>ADDIN CSL_CITATION {"citationItems":[{"id":"ITEM-1","itemData":{"DOI":"10.1007/s11409-020-09249-1","ISSN":"15561631","abstract":"The purpose of the present study was to (a) determine relationships among teacher contextual variables including support and cognitive activation, student motivational beliefs, engagement, and mathematics literacy and (b) to examine whether different types of motivational and behavioral engagement variables act as viable mediators between the classroom context and student mathematics literacy. Data were extracted from the 2012 PISA, with a sample of N = 4978 students. Using structural equation modeling, the results indicated that students’ perceptions of teacher support had a positive effect on their motivational beliefs, behaviors, and mathematics literacy. In particular, perceived teacher cognitive activation had a positive direct effect and an indirect effect through student self-efficacy beliefs, and persistence on mathematics achievement. In addition, self-efficacy resulted in significant paths on their intention to pursue careers in mathematics and work ethic, but a negative path was found between work ethic and mathematics achievement. Implications for educational practice and future research directions are also discussed.","author":[{"dropping-particle":"","family":"Kitsantas","given":"Anastasia","non-dropping-particle":"","parse-names":false,"suffix":""},{"dropping-particle":"","family":"Cleary","given":"Timothy J.","non-dropping-particle":"","parse-names":false,"suffix":""},{"dropping-particle":"","family":"Whitehead","given":"Aubrey","non-dropping-particle":"","parse-names":false,"suffix":""},{"dropping-particle":"","family":"Cheema","given":"Jehanzeb","non-dropping-particle":"","parse-names":false,"suffix":""}],"container-title":"Metacognition and Learning","id":"ITEM-1","issue":"2","issued":{"date-parts":[["2021"]]},"page":"255-273","title":"Relations among classroom context, student motivation, and mathematics literacy: a social cognitive perspective","type":"article-journal","volume":"16"},"uris":["http://www.mendeley.com/documents/?uuid=a2586b96-65a5-4029-b408-d28df373a63a"]}],"mendeley":{"formattedCitation":"[7]","plainTextFormattedCitation":"[7]","previouslyFormattedCitation":"[7]"},"properties":{"noteIndex":0},"schema":"https://github.com/citation-style-language/schema/raw/master/csl-citation.json"}</w:instrText>
      </w:r>
      <w:r w:rsidR="00AB2E9D">
        <w:fldChar w:fldCharType="separate"/>
      </w:r>
      <w:r w:rsidR="00A83A6F" w:rsidRPr="00A83A6F">
        <w:rPr>
          <w:noProof/>
        </w:rPr>
        <w:t>[7]</w:t>
      </w:r>
      <w:r w:rsidR="00AB2E9D">
        <w:fldChar w:fldCharType="end"/>
      </w:r>
      <w:r w:rsidR="00AB2E9D">
        <w:fldChar w:fldCharType="begin" w:fldLock="1"/>
      </w:r>
      <w:r w:rsidR="007845A5">
        <w:instrText>ADDIN CSL_CITATION {"citationItems":[{"id":"ITEM-1","itemData":{"DOI":"10.1016/j.ijer.2015.06.008","ISSN":"08830355","abstract":"In this study we analyzed if teacher support and student self-efficacy mediated the relations between students' grades in mathematics and different measures of mathematics motivation. Participants in the study were 823 Norwegian middle school students. Indicators of motivation were intrinsic motivation, effort, persistence, and help-seeking behavior. Data were analyzed by means of multiple regression and SEM analysis. The relations between students' grades and motivation were partly mediated through emotional support and self-efficacy.","author":[{"dropping-particle":"","family":"Skaalvik","given":"Einar M.","non-dropping-particle":"","parse-names":false,"suffix":""},{"dropping-particle":"","family":"Federici","given":"Roger A.","non-dropping-particle":"","parse-names":false,"suffix":""},{"dropping-particle":"","family":"Klassen","given":"Robert M.","non-dropping-particle":"","parse-names":false,"suffix":""}],"container-title":"International Journal of Educational Research","id":"ITEM-1","issued":{"date-parts":[["2015"]]},"page":"129-136","publisher":"Elsevier Ltd","title":"Mathematics achievement and self-efficacy: Relations with motivation for mathematics","type":"article-journal","volume":"72"},"uris":["http://www.mendeley.com/documents/?uuid=926cde04-f514-469e-ba08-18b3a2f13059"]}],"mendeley":{"formattedCitation":"[3]","plainTextFormattedCitation":"[3]","previouslyFormattedCitation":"[3]"},"properties":{"noteIndex":0},"schema":"https://github.com/citation-style-language/schema/raw/master/csl-citation.json"}</w:instrText>
      </w:r>
      <w:r w:rsidR="00AB2E9D">
        <w:fldChar w:fldCharType="separate"/>
      </w:r>
      <w:r w:rsidR="00AB2E9D" w:rsidRPr="00AB2E9D">
        <w:rPr>
          <w:noProof/>
        </w:rPr>
        <w:t>[3]</w:t>
      </w:r>
      <w:r w:rsidR="00AB2E9D">
        <w:fldChar w:fldCharType="end"/>
      </w:r>
      <w:r w:rsidR="008B0136">
        <w:t xml:space="preserve">. This study will focus on examining teacher support effect on students’ mathematics literacy ability especially in Indonesia by using PISA 2012 data, because research about teacher’s role on mathematics achievement or mathematics literacy ability in Indonesia are still limited. </w:t>
      </w:r>
    </w:p>
    <w:p w14:paraId="76FA14B7" w14:textId="77777777" w:rsidR="004B2D86" w:rsidRDefault="004B2D86" w:rsidP="00827050">
      <w:pPr>
        <w:pStyle w:val="Paragraph"/>
      </w:pPr>
    </w:p>
    <w:p w14:paraId="717F9307" w14:textId="7603A414" w:rsidR="00327DD2" w:rsidRDefault="00E15830" w:rsidP="00827050">
      <w:pPr>
        <w:pStyle w:val="Paragraph"/>
      </w:pPr>
      <w:r>
        <w:t xml:space="preserve">In addition, </w:t>
      </w:r>
      <w:r w:rsidR="003D1800" w:rsidRPr="003D1800">
        <w:t>classroom support in the form of activities to maintain a positive climate and support students emotionally, support in the form of providing instructional content that stimulates deep thinking and conceptual understanding during learning will have a more effective impact on student success in the classroom. Support in the form of asking questions or activities that can stimulate students' thinking is known as cognitive activation</w:t>
      </w:r>
      <w:r w:rsidR="007845A5">
        <w:t xml:space="preserve"> </w:t>
      </w:r>
      <w:r w:rsidR="007845A5">
        <w:fldChar w:fldCharType="begin" w:fldLock="1"/>
      </w:r>
      <w:r w:rsidR="00A83A6F">
        <w:instrText>ADDIN CSL_CITATION {"citationItems":[{"id":"ITEM-1","itemData":{"DOI":"10.1007/s11165-016-9517-y","ISSN":"15731898","author":[{"dropping-particle":"","family":"Förtsch","given":"Christian","non-dropping-particle":"","parse-names":false,"suffix":""},{"dropping-particle":"","family":"Werner","given":"Sonja","non-dropping-particle":"","parse-names":false,"suffix":""},{"dropping-particle":"","family":"Dorfner","given":"Tobias","non-dropping-particle":"","parse-names":false,"suffix":""},{"dropping-particle":"","family":"Kotzebue","given":"Lena","non-dropping-particle":"von","parse-names":false,"suffix":""},{"dropping-particle":"","family":"Neuhaus","given":"Birgit J.","non-dropping-particle":"","parse-names":false,"suffix":""}],"container-title":"Research in Science Education","id":"ITEM-1","issue":"3","issued":{"date-parts":[["2017"]]},"page":"559-578","publisher":"Research in Science Education","title":"Effects of Cognitive Activation in Biology Lessons on Students’ Situational Interest and Achievement","type":"article-journal","volume":"47"},"uris":["http://www.mendeley.com/documents/?uuid=32c91ca2-29d9-4af1-934c-f732bd3f7705"]}],"mendeley":{"formattedCitation":"[8]","plainTextFormattedCitation":"[8]","previouslyFormattedCitation":"[8]"},"properties":{"noteIndex":0},"schema":"https://github.com/citation-style-language/schema/raw/master/csl-citation.json"}</w:instrText>
      </w:r>
      <w:r w:rsidR="007845A5">
        <w:fldChar w:fldCharType="separate"/>
      </w:r>
      <w:r w:rsidR="00A83A6F" w:rsidRPr="00A83A6F">
        <w:rPr>
          <w:noProof/>
        </w:rPr>
        <w:t>[8]</w:t>
      </w:r>
      <w:r w:rsidR="007845A5">
        <w:fldChar w:fldCharType="end"/>
      </w:r>
      <w:r w:rsidR="007845A5">
        <w:t xml:space="preserve">. </w:t>
      </w:r>
      <w:r w:rsidR="008C401D" w:rsidRPr="008C401D">
        <w:t>Based on the constructivism learning theory, the learning activities of students in the classroom are part of knowledge construction. Students can understanding new concepts and connect the new concepts with their previous knowledge when they received cognitive activation given by the teacher during teaching and learning activities such as doing challenging tasks</w:t>
      </w:r>
      <w:r w:rsidR="008C401D">
        <w:t xml:space="preserve"> </w:t>
      </w:r>
      <w:r w:rsidR="008C401D">
        <w:fldChar w:fldCharType="begin" w:fldLock="1"/>
      </w:r>
      <w:r w:rsidR="00A83A6F">
        <w:instrText>ADDIN CSL_CITATION {"citationItems":[{"id":"ITEM-1","itemData":{"DOI":"10.1080/01443410.2021.1917520","ISSN":"14695820","abstract":"This study investigates the mediating roles of mathematics interest and perseverance on the effects of cognitive activation on mathematics achievement. We analysed data from a large-scale survey involving 25,969 eighth grade students from 86 schools in central China. The results show that (1) cognitive activation had a direct and positive effect on students’ mathematics achievement; (2) the positive relationship between cognitive activation and mathematics achievement was prominently mediated by mathematics interest; (3) perseverance partially mediated the relationship between cognitive activation and mathematics achievement; and (4) mathematics interest and then perseverance serially mediated the relationship between cognitive activation and mathematics achievement. The implications of the findings for mathematics teachers are discussed and suggestions are made for future research.","author":[{"dropping-particle":"","family":"Zhang","given":"Di","non-dropping-particle":"","parse-names":false,"suffix":""},{"dropping-particle":"","family":"Wang","given":"Chan","non-dropping-particle":"","parse-names":false,"suffix":""},{"dropping-particle":"","family":"Yang","given":"Yuandu","non-dropping-particle":"","parse-names":false,"suffix":""}],"container-title":"Educational Psychology","id":"ITEM-1","issue":"6","issued":{"date-parts":[["2021"]]},"page":"695-711","publisher":"Routledge","title":"The association between cognitive activation and mathematics achievement: a multiple mediation model","type":"article-journal","volume":"41"},"uris":["http://www.mendeley.com/documents/?uuid=f0601de2-e0c0-468b-b172-b0b33dc20226"]}],"mendeley":{"formattedCitation":"[9]","plainTextFormattedCitation":"[9]","previouslyFormattedCitation":"[9]"},"properties":{"noteIndex":0},"schema":"https://github.com/citation-style-language/schema/raw/master/csl-citation.json"}</w:instrText>
      </w:r>
      <w:r w:rsidR="008C401D">
        <w:fldChar w:fldCharType="separate"/>
      </w:r>
      <w:r w:rsidR="00A83A6F" w:rsidRPr="00A83A6F">
        <w:rPr>
          <w:noProof/>
        </w:rPr>
        <w:t>[9]</w:t>
      </w:r>
      <w:r w:rsidR="008C401D">
        <w:fldChar w:fldCharType="end"/>
      </w:r>
      <w:r w:rsidR="008C401D">
        <w:t xml:space="preserve">. </w:t>
      </w:r>
      <w:r w:rsidR="007C50B3" w:rsidRPr="007C50B3">
        <w:t xml:space="preserve">Some teacher </w:t>
      </w:r>
      <w:r w:rsidR="007C50B3">
        <w:t xml:space="preserve">cognitive activation activities </w:t>
      </w:r>
      <w:r w:rsidR="007C50B3" w:rsidRPr="007C50B3">
        <w:t xml:space="preserve">that have high correlation with students’ mathematics achievement are: encourage students to solve problem both individually or by group discussion, encourage students to set a high expectation in learning mathematics, encourage students to do mathematics task with their full effort and make the task as good as they can, helping students to construct an understanding concepts and mathematics processes, </w:t>
      </w:r>
      <w:r w:rsidRPr="00E15830">
        <w:t xml:space="preserve">encourage </w:t>
      </w:r>
      <w:r>
        <w:t>to make</w:t>
      </w:r>
      <w:r w:rsidRPr="00E15830">
        <w:t xml:space="preserve"> connections between new content and prior knowledge</w:t>
      </w:r>
      <w:r>
        <w:t xml:space="preserve">, </w:t>
      </w:r>
      <w:r w:rsidR="007C50B3" w:rsidRPr="007C50B3">
        <w:t>helping students to develop their ability to think mathematically</w:t>
      </w:r>
      <w:r>
        <w:t xml:space="preserve">, and reflect on their learning processes </w:t>
      </w:r>
      <w:r>
        <w:fldChar w:fldCharType="begin" w:fldLock="1"/>
      </w:r>
      <w:r>
        <w:instrText>ADDIN CSL_CITATION {"citationItems":[{"id":"ITEM-1","itemData":{"DOI":"10.4324/9780203887332","ISBN":"0203887336","abstract":"This unique and ground-breaking book is the result of 15 years research and synthesises over 800 meta-analyses on the influences on achievement in school-aged students. It builds a story about the power of teachers, feedback, and a model of learning and understanding. The research involves many millions of students and represents the largest ever evidence based research into what actually works in schools to improve learning. Areas covered include the influence of the student, home, school, curricula, teacher, and teaching strategies. A model of teaching and learning is developed based on the notion of visible teaching and visible learning. A major message is that what works best for students is similar to what works best for teachers - an attention to setting challenging learning intentions, being clear about what success means, and an attention to learning strategies for developing conceptual understanding about what teachers and students know and understand. Although the current evidence based fad has turned into a debate about test scores, this book is about using evidence to build and defend a model of teaching and learning. A major contribution is a fascinating benchmark/dashboard for comparing many innovations in teaching and schools.","author":[{"dropping-particle":"","family":"Hattie","given":"John","non-dropping-particle":"","parse-names":false,"suffix":""}],"container-title":"Visible Learning: A Synthesis of Over 800 Meta-Analyses Relating to Achievement","id":"ITEM-1","issued":{"date-parts":[["2008"]]},"number-of-pages":"1-378","title":"Visible learning: A synthesis of over 800 meta-analyses relating to achievement","type":"book"},"uris":["http://www.mendeley.com/documents/?uuid=157329d6-b94e-4836-be21-2ac486434be8"]}],"mendeley":{"formattedCitation":"[4]","plainTextFormattedCitation":"[4]","previouslyFormattedCitation":"[4]"},"properties":{"noteIndex":0},"schema":"https://github.com/citation-style-language/schema/raw/master/csl-citation.json"}</w:instrText>
      </w:r>
      <w:r>
        <w:fldChar w:fldCharType="separate"/>
      </w:r>
      <w:r w:rsidRPr="00E15830">
        <w:rPr>
          <w:noProof/>
        </w:rPr>
        <w:t>[4]</w:t>
      </w:r>
      <w:r>
        <w:fldChar w:fldCharType="end"/>
      </w:r>
      <w:r w:rsidR="006B698C" w:rsidRPr="006B698C">
        <w:rPr>
          <w:noProof/>
        </w:rPr>
        <w:t xml:space="preserve"> 11]</w:t>
      </w:r>
      <w:r>
        <w:t xml:space="preserve">. The prior research related to cognitive activation showed the positive relation between </w:t>
      </w:r>
      <w:r w:rsidR="0096107E">
        <w:t>cognitive activation and students’ mathematic achievement or mathematics literacy ability</w:t>
      </w:r>
      <w:r w:rsidR="003C2C74">
        <w:t xml:space="preserve"> </w:t>
      </w:r>
      <w:r w:rsidR="006B698C">
        <w:fldChar w:fldCharType="begin" w:fldLock="1"/>
      </w:r>
      <w:r w:rsidR="003C2C74">
        <w:instrText>ADDIN CSL_CITATION {"citationItems":[{"id":"ITEM-1","itemData":{"DOI":"10.1111/bjep.12351","ISSN":"20448279","PMID":"32369197","abstract":"Background: Previous studies have suggested that teachers’ frequent use of cognitive activation strategies in mathematics lessons is positively associated with students’ mathematics achievement. Aims: This study aims to investigate the possible mediating role of mathematics self-efficacy in the association between cognitive activation and achievement in mathematics classrooms. Besides that, we explored the moderating role of students’ socioeconomic status (SES) in the relationships between cognitive activation, mathematics self-efficacy, and mathematics achievement. Samples: This study employed data from a project of the National Assessment Center for Education Quality (NACEQ) in China. A sample with 8707 fourth-grade primary students and 129 mathematics teachers was analysed. Methods: The multi-level analysis was used in this study with students representing the level-1 units and teachers representing the level-2 units. Results: Based on a large-scale standard assessment and survey in China, this study showed that cognitive activation was positively related to mathematics performance overall. Mathematics self-efficacy played a vital mediating role in the association between cognitive activation and mathematics achievement. The indirect relationship between cognitive activation and mathematics achievement via mathematics self-efficacy was moderated by SES both at the student level and the teacher level. Conclusions: Our study suggests the importance of cognitively activating instruction, especially for students with lower SES and classes with lower average SES.","author":[{"dropping-particle":"","family":"Li","given":"Hui","non-dropping-particle":"","parse-names":false,"suffix":""},{"dropping-particle":"","family":"Liu","given":"Jian","non-dropping-particle":"","parse-names":false,"suffix":""},{"dropping-particle":"","family":"Zhang","given":"Dan","non-dropping-particle":"","parse-names":false,"suffix":""},{"dropping-particle":"","family":"Liu","given":"Hongyun","non-dropping-particle":"","parse-names":false,"suffix":""}],"container-title":"British Journal of Educational Psychology","id":"ITEM-1","issue":"1","issued":{"date-parts":[["2021"]]},"page":"101-126","title":"Examining the relationships between cognitive activation, self-efficacy, socioeconomic status, and achievement in mathematics: A multi-level analysis","type":"article-journal","volume":"91"},"uris":["http://www.mendeley.com/documents/?uuid=a7894ea6-6b12-4155-b4d8-329a0e8ea917"]}],"mendeley":{"formattedCitation":"[10]","plainTextFormattedCitation":"[10]","previouslyFormattedCitation":"[10]"},"properties":{"noteIndex":0},"schema":"https://github.com/citation-style-language/schema/raw/master/csl-citation.json"}</w:instrText>
      </w:r>
      <w:r w:rsidR="006B698C">
        <w:fldChar w:fldCharType="separate"/>
      </w:r>
      <w:r w:rsidR="006B698C" w:rsidRPr="006B698C">
        <w:rPr>
          <w:noProof/>
        </w:rPr>
        <w:t>[10]</w:t>
      </w:r>
      <w:r w:rsidR="006B698C">
        <w:fldChar w:fldCharType="end"/>
      </w:r>
      <w:r w:rsidR="006B698C">
        <w:fldChar w:fldCharType="begin" w:fldLock="1"/>
      </w:r>
      <w:r w:rsidR="006B698C">
        <w:instrText>ADDIN CSL_CITATION {"citationItems":[{"id":"ITEM-1","itemData":{"DOI":"10.1007/978-1-4614-5149-5","ISBN":"9781461451495","abstract":"This work reports the findings of the Professional Competence of Teachers, Cognitively Activating Instruction, and Development of Students' Mathematical Literacy project (COACTIV). COACTIV applies a broad, innovative conceptualization of teacher competence to examine how mathematics teachers' knowledge, beliefs, motivational orientations, and self-regulation skills influence their instructional practice and teaching outcomes In this project data was collected on various aspects of teacher competence and classroom instruction from the perspective of both the teachers themselves and their students. Moreover, it gauges the effects of these teacher characteristics on student learning, as indexed by the progress students in each class. Questions addressed in the study which are reported in this volume include: What are the characteristics of successful teaching? What distinguishes teachers who succeed in their profession? How can the quality of instruction be improved?","author":[{"dropping-particle":"","family":"Baumert","given":"Jürgen","non-dropping-particle":"","parse-names":false,"suffix":""},{"dropping-particle":"","family":"Kunter","given":"Mareike","non-dropping-particle":"","parse-names":false,"suffix":""},{"dropping-particle":"","family":"Blum","given":"Werner","non-dropping-particle":"","parse-names":false,"suffix":""},{"dropping-particle":"","family":"Klusmann","given":"Uta","non-dropping-particle":"","parse-names":false,"suffix":""},{"dropping-particle":"","family":"Krauss","given":"Stefan","non-dropping-particle":"","parse-names":false,"suffix":""},{"dropping-particle":"","family":"Neubrand","given":"Michael","non-dropping-particle":"","parse-names":false,"suffix":""}],"container-title":"Cognitive Activation in the Mathematics Classroom and Professional Competence of Teachers: Results from the COACTIV Project","id":"ITEM-1","issued":{"date-parts":[["2013"]]},"page":"1-378","title":"Cognitive activation in the mathematics classroom and professional competence of teachers: Results from the COACTIV project","type":"article-journal"},"uris":["http://www.mendeley.com/documents/?uuid=625a4ce9-5b41-4527-9342-d2059765794b"]}],"mendeley":{"formattedCitation":"[11]","plainTextFormattedCitation":"[11]","previouslyFormattedCitation":"[11]"},"properties":{"noteIndex":0},"schema":"https://github.com/citation-style-language/schema/raw/master/csl-citation.json"}</w:instrText>
      </w:r>
      <w:r w:rsidR="006B698C">
        <w:fldChar w:fldCharType="separate"/>
      </w:r>
      <w:r w:rsidR="006B698C" w:rsidRPr="006B698C">
        <w:rPr>
          <w:noProof/>
        </w:rPr>
        <w:t>[11]</w:t>
      </w:r>
      <w:r w:rsidR="006B698C">
        <w:fldChar w:fldCharType="end"/>
      </w:r>
      <w:r w:rsidR="003C2C74">
        <w:fldChar w:fldCharType="begin" w:fldLock="1"/>
      </w:r>
      <w:r w:rsidR="006366A3">
        <w:instrText>ADDIN CSL_CITATION {"citationItems":[{"id":"ITEM-1","itemData":{"DOI":"10.1007/s11409-020-09249-1","ISSN":"15561631","abstract":"The purpose of the present study was to (a) determine relationships among teacher contextual variables including support and cognitive activation, student motivational beliefs, engagement, and mathematics literacy and (b) to examine whether different types of motivational and behavioral engagement variables act as viable mediators between the classroom context and student mathematics literacy. Data were extracted from the 2012 PISA, with a sample of N = 4978 students. Using structural equation modeling, the results indicated that students’ perceptions of teacher support had a positive effect on their motivational beliefs, behaviors, and mathematics literacy. In particular, perceived teacher cognitive activation had a positive direct effect and an indirect effect through student self-efficacy beliefs, and persistence on mathematics achievement. In addition, self-efficacy resulted in significant paths on their intention to pursue careers in mathematics and work ethic, but a negative path was found between work ethic and mathematics achievement. Implications for educational practice and future research directions are also discussed.","author":[{"dropping-particle":"","family":"Kitsantas","given":"Anastasia","non-dropping-particle":"","parse-names":false,"suffix":""},{"dropping-particle":"","family":"Cleary","given":"Timothy J.","non-dropping-particle":"","parse-names":false,"suffix":""},{"dropping-particle":"","family":"Whitehead","given":"Aubrey","non-dropping-particle":"","parse-names":false,"suffix":""},{"dropping-particle":"","family":"Cheema","given":"Jehanzeb","non-dropping-particle":"","parse-names":false,"suffix":""}],"container-title":"Metacognition and Learning","id":"ITEM-1","issue":"2","issued":{"date-parts":[["2021"]]},"page":"255-273","title":"Relations among classroom context, student motivation, and mathematics literacy: a social cognitive perspective","type":"article-journal","volume":"16"},"uris":["http://www.mendeley.com/documents/?uuid=a2586b96-65a5-4029-b408-d28df373a63a"]}],"mendeley":{"formattedCitation":"[7]","plainTextFormattedCitation":"[7]","previouslyFormattedCitation":"[7]"},"properties":{"noteIndex":0},"schema":"https://github.com/citation-style-language/schema/raw/master/csl-citation.json"}</w:instrText>
      </w:r>
      <w:r w:rsidR="003C2C74">
        <w:fldChar w:fldCharType="separate"/>
      </w:r>
      <w:r w:rsidR="003C2C74" w:rsidRPr="003C2C74">
        <w:rPr>
          <w:noProof/>
        </w:rPr>
        <w:t>[7]</w:t>
      </w:r>
      <w:r w:rsidR="003C2C74">
        <w:fldChar w:fldCharType="end"/>
      </w:r>
      <w:r w:rsidR="003C2C74">
        <w:t xml:space="preserve">. As mentioned on the previous paragraph, research related the teacher effects on mathematics achievement in Indonesia are limited. So, this study will try to analyze the effects of teachers’ role on students’ mathematics literacy ability. It will focus on two teacher’s roles from student perspective, which are: teacher support and cognitive activation. </w:t>
      </w:r>
    </w:p>
    <w:p w14:paraId="04BA7DD1" w14:textId="77777777" w:rsidR="00EB3BC7" w:rsidRDefault="00EB3BC7" w:rsidP="00827050">
      <w:pPr>
        <w:pStyle w:val="Paragraph"/>
      </w:pPr>
    </w:p>
    <w:p w14:paraId="3BC46848" w14:textId="04F8D3C6" w:rsidR="001409E0" w:rsidRDefault="006366A3" w:rsidP="00827050">
      <w:pPr>
        <w:pStyle w:val="Paragraph"/>
      </w:pPr>
      <w:r>
        <w:t xml:space="preserve">The school level predictor being discussed in this study is the school type. </w:t>
      </w:r>
      <w:r w:rsidRPr="006366A3">
        <w:t>The school type in this study means public school and private school. The different types of school indicate the different type of resources also the different type of teaching practices due to the difference of school goals and philosophy. These differences will affect students’ academic performance. Some studies found that mathematics achievement of students from private school were higher than students from publics school. But, some studies showed the opposite results</w:t>
      </w:r>
      <w:r>
        <w:t xml:space="preserve"> </w:t>
      </w:r>
      <w:r>
        <w:fldChar w:fldCharType="begin" w:fldLock="1"/>
      </w:r>
      <w:r w:rsidR="00F52729">
        <w:instrText>ADDIN CSL_CITATION {"citationItems":[{"id":"ITEM-1","itemData":{"DOI":"10.1002/sce.21609","ISSN":"1098237X","abstract":"The purpose of this study is to examine the characteristics of US schools associated with two measures of scientific literacy (content knowledge and “procedural and epistemic” knowledge) using the 2015 Programme for International Student Assessment (PISA) data. Because outcomes are nested within students, and students within schools, a multivariate three-level modeling method was employed. About 21% of the total variance in science performance lies between schools, indicating that school characteristics are important in predicting scientific literacy. The results revealed clearly significant and positive relationships of the student-level variables of grade, enjoyment, motivation, and economic/social/cultural status (ESCS) with both measures of science literacy, after controlling for school factors. A significant gender difference is seen in science content knowledge in favor of males. At the school level, the results from the full model suggest that school ESCS, climate, and school type are significant predictors of all students' performance. Surprisingly, school size, teaching experience, professional development (PD) participation, and science-specific resources are not found to contribute significantly to achievement. Considerable variability is also evident among schools on student performance in both science knowledge domains as a result of school variables. For both low- and mid–high-achieving students, the most significant school factor is school mean ESCS. PD participation and school climate are significantly associated with student performance only for the average and high-performing groups. This paper can inform policymakers, researchers, and educators on how US schools can be supported to improve science learning.","author":[{"dropping-particle":"","family":"You","given":"Hye Sun","non-dropping-particle":"","parse-names":false,"suffix":""},{"dropping-particle":"","family":"Park","given":"Sunyoung","non-dropping-particle":"","parse-names":false,"suffix":""},{"dropping-particle":"","family":"Delgado","given":"Cesar","non-dropping-particle":"","parse-names":false,"suffix":""}],"container-title":"Science Education","id":"ITEM-1","issue":"2","issued":{"date-parts":[["2021"]]},"page":"406-437","title":"A closer look at US schools: What characteristics are associated with scientific literacy? A multivariate multilevel analysis using PISA 2015","type":"article-journal","volume":"105"},"uris":["http://www.mendeley.com/documents/?uuid=09ee477a-79fb-4f85-be93-cde4d6f73812"]}],"mendeley":{"formattedCitation":"[12]","plainTextFormattedCitation":"[12]","previouslyFormattedCitation":"[12]"},"properties":{"noteIndex":0},"schema":"https://github.com/citation-style-language/schema/raw/master/csl-citation.json"}</w:instrText>
      </w:r>
      <w:r>
        <w:fldChar w:fldCharType="separate"/>
      </w:r>
      <w:r w:rsidRPr="006366A3">
        <w:rPr>
          <w:noProof/>
        </w:rPr>
        <w:t>[12]</w:t>
      </w:r>
      <w:r>
        <w:fldChar w:fldCharType="end"/>
      </w:r>
      <w:r w:rsidRPr="006366A3">
        <w:t>.</w:t>
      </w:r>
      <w:r>
        <w:t xml:space="preserve"> </w:t>
      </w:r>
      <w:r w:rsidR="00171BEF">
        <w:t xml:space="preserve">On this study, will examine the school type predictor, whether it will have positive or negative effect on students’ mathematics literacy ability just like the previous finding or </w:t>
      </w:r>
      <w:proofErr w:type="gramStart"/>
      <w:r w:rsidR="00171BEF">
        <w:t>it will have</w:t>
      </w:r>
      <w:proofErr w:type="gramEnd"/>
      <w:r w:rsidR="00171BEF">
        <w:t xml:space="preserve"> different result.</w:t>
      </w:r>
    </w:p>
    <w:p w14:paraId="2C42236F" w14:textId="77777777" w:rsidR="00EB3BC7" w:rsidRDefault="00EB3BC7" w:rsidP="00827050">
      <w:pPr>
        <w:pStyle w:val="Paragraph"/>
      </w:pPr>
    </w:p>
    <w:p w14:paraId="0B1F5461" w14:textId="04179485" w:rsidR="00E95A66" w:rsidRDefault="002E1C2D" w:rsidP="00E95A66">
      <w:pPr>
        <w:pStyle w:val="Paragraph"/>
      </w:pPr>
      <w:r>
        <w:t xml:space="preserve">The aim of this study is </w:t>
      </w:r>
      <w:r w:rsidR="005F4127">
        <w:t xml:space="preserve">examining </w:t>
      </w:r>
      <w:r w:rsidR="00EB3BC7">
        <w:t xml:space="preserve">the relations </w:t>
      </w:r>
      <w:r w:rsidR="005F4127">
        <w:t xml:space="preserve">of teacher roles </w:t>
      </w:r>
      <w:r w:rsidR="00E95A66">
        <w:t xml:space="preserve">and school </w:t>
      </w:r>
      <w:r w:rsidR="00EB3BC7">
        <w:t>type on students’ mathematics literacy ability</w:t>
      </w:r>
      <w:r w:rsidR="00E95A66">
        <w:t xml:space="preserve">. </w:t>
      </w:r>
      <w:r w:rsidR="005F4127">
        <w:t xml:space="preserve">The </w:t>
      </w:r>
      <w:proofErr w:type="gramStart"/>
      <w:r w:rsidR="005F4127">
        <w:t>teachers</w:t>
      </w:r>
      <w:proofErr w:type="gramEnd"/>
      <w:r w:rsidR="005F4127">
        <w:t xml:space="preserve"> role will focus on teacher supports and the cognitive activation given by the teacher during the teaching and learning activities. </w:t>
      </w:r>
      <w:r>
        <w:t>The study focused on the following research questions:</w:t>
      </w:r>
    </w:p>
    <w:p w14:paraId="4BF4B82C" w14:textId="03292E71" w:rsidR="00E95A66" w:rsidRPr="00F11DD3" w:rsidRDefault="00E95A66" w:rsidP="00E95A66">
      <w:pPr>
        <w:pStyle w:val="Paragraphnumbered"/>
      </w:pPr>
      <w:r w:rsidRPr="00F11DD3">
        <w:t xml:space="preserve">Does </w:t>
      </w:r>
      <w:r w:rsidR="002E1C2D" w:rsidRPr="00F11DD3">
        <w:t>students’ mathematics literac</w:t>
      </w:r>
      <w:r w:rsidRPr="00F11DD3">
        <w:t xml:space="preserve">y </w:t>
      </w:r>
      <w:r w:rsidR="002E1C2D" w:rsidRPr="00F11DD3">
        <w:t xml:space="preserve">ability </w:t>
      </w:r>
      <w:r w:rsidRPr="00F11DD3">
        <w:t>for each aspect vary between students within the school?</w:t>
      </w:r>
    </w:p>
    <w:p w14:paraId="064A4CE6" w14:textId="177D6292" w:rsidR="00E95A66" w:rsidRPr="00F11DD3" w:rsidRDefault="00F11DD3" w:rsidP="00E95A66">
      <w:pPr>
        <w:pStyle w:val="Paragraphnumbered"/>
      </w:pPr>
      <w:r w:rsidRPr="00F11DD3">
        <w:t xml:space="preserve">Do the teacher roles, </w:t>
      </w:r>
      <w:r w:rsidR="00E95A66" w:rsidRPr="00F11DD3">
        <w:t>teacher suppor</w:t>
      </w:r>
      <w:r w:rsidRPr="00F11DD3">
        <w:t xml:space="preserve">t and </w:t>
      </w:r>
      <w:r w:rsidR="00140327" w:rsidRPr="00F11DD3">
        <w:t xml:space="preserve">cognitive activation, </w:t>
      </w:r>
      <w:r w:rsidR="00E95A66" w:rsidRPr="00F11DD3">
        <w:t xml:space="preserve">affect students' mathematical literacy </w:t>
      </w:r>
      <w:r w:rsidR="002E1C2D" w:rsidRPr="00F11DD3">
        <w:t>ability</w:t>
      </w:r>
      <w:r w:rsidR="00E95A66" w:rsidRPr="00F11DD3">
        <w:t xml:space="preserve"> in the aspects of: employ, formulate, and interpret?</w:t>
      </w:r>
    </w:p>
    <w:p w14:paraId="6DF4825C" w14:textId="6957BE88" w:rsidR="00F11DD3" w:rsidRPr="00F11DD3" w:rsidRDefault="00F11DD3" w:rsidP="00F11DD3">
      <w:pPr>
        <w:pStyle w:val="Paragraphnumbered"/>
      </w:pPr>
      <w:r w:rsidRPr="00F11DD3">
        <w:t>Do the school types affect students' mathematical literacy ability in the aspects of: employ, formulate, and interpret?</w:t>
      </w:r>
    </w:p>
    <w:p w14:paraId="13C2D5E2" w14:textId="594538E4" w:rsidR="00327DD2" w:rsidRDefault="00327DD2" w:rsidP="00F11DD3">
      <w:pPr>
        <w:pStyle w:val="Paragraphnumbered"/>
        <w:numPr>
          <w:ilvl w:val="0"/>
          <w:numId w:val="0"/>
        </w:numPr>
        <w:ind w:left="284"/>
      </w:pPr>
    </w:p>
    <w:p w14:paraId="30C6BB5B" w14:textId="28747883" w:rsidR="00A646B3" w:rsidRPr="00075EA6" w:rsidRDefault="00285A67" w:rsidP="00285A67">
      <w:pPr>
        <w:pStyle w:val="Heading1"/>
      </w:pPr>
      <w:r>
        <w:t>METHOD</w:t>
      </w:r>
      <w:r w:rsidR="00346A9D" w:rsidRPr="00075EA6">
        <w:t xml:space="preserve"> </w:t>
      </w:r>
    </w:p>
    <w:p w14:paraId="530E6BD2" w14:textId="66ECBA1F" w:rsidR="00BA3B3D" w:rsidRPr="00075EA6" w:rsidRDefault="00285A67" w:rsidP="00A646B3">
      <w:pPr>
        <w:pStyle w:val="Heading2"/>
      </w:pPr>
      <w:r>
        <w:t>Data Collections</w:t>
      </w:r>
    </w:p>
    <w:p w14:paraId="77E4A6DB" w14:textId="4013D55C" w:rsidR="00285A67" w:rsidRPr="00285A67" w:rsidRDefault="00285A67" w:rsidP="00140327">
      <w:pPr>
        <w:pStyle w:val="Paragraph"/>
      </w:pPr>
      <w:r w:rsidRPr="00285A67">
        <w:t>This study used Indonesia data from PISA 2012. PISA is a triennial standardized international assessment measuring 15-years-old students’ mathematics, reading, and science literacy, organized by the Organization for Economic Cooperation and Development</w:t>
      </w:r>
      <w:r w:rsidR="00891AA1">
        <w:t xml:space="preserve"> </w:t>
      </w:r>
      <w:r w:rsidR="00891AA1">
        <w:fldChar w:fldCharType="begin" w:fldLock="1"/>
      </w:r>
      <w:r w:rsidR="00891AA1">
        <w:instrText>ADDIN CSL_CITATION {"citationItems":[{"id":"ITEM-1","itemData":{"DOI":"http://dx.doi.org/10.1787/9789264190511-en","ISBN":"978-92-64-19051-1","abstract":"Frances Tustin (1913-1994) was one of the first professionally trained child psychotherapists in Britain. Although internationally recognised for her pioneering therapeutic work with autistic children, her approach is considered by some to be controversial, as her psychogenic view of childhood autism challenged the belief that it is biological and genetic. Autistic States in Children is widely regarded as a vitally important work for understanding the causes of autism in young children. Vividly describing her clinical encounters with autistic children, Tustin argued that autistic states were above all self-protective ones. In her observational studies, she noted how autistic children’s interaction with physical objects, such as keys, toy cars, or other play items, had a rigid and ritualistic quality, far removed from the typical kind of fantasy play seen in other children. Such objects are not used by autistic children for their intended purpose, Tustin argued, but rather in sensation-dominated ways that interfere with mental development. She also drew a fundamental distinction between two autistic groups: an ‘encapsulated’ group, which is withdrawn and non-verbal, and an ‘entangled’ group, who are hyperactive and chaotic but have some language. Autistic States in Children influenced not only those in psychotherapy and psychoanalysis but countless others who have contact with autistic children, especially families, and remains essential reading for anyone seeking a creative and compelling understanding of autism. This Routledge Classics edition includes a new Foreword by Maria Rhode.","author":[{"dropping-particle":"","family":"OECD","given":"","non-dropping-particle":"","parse-names":false,"suffix":""}],"container-title":"OECD Publishing.","id":"ITEM-1","issued":{"date-parts":[["2013"]]},"number-of-pages":"1-283","title":"PISA 2012 Assessment and Analytical Framework: Mathematics, Reading, Science, Problem Solving and Financial Literacy","type":"book"},"uris":["http://www.mendeley.com/documents/?uuid=e977f20d-9c8c-4f02-b9b1-62d8eca2aed0"]}],"mendeley":{"formattedCitation":"[1]","plainTextFormattedCitation":"[1]","previouslyFormattedCitation":"[1]"},"properties":{"noteIndex":0},"schema":"https://github.com/citation-style-language/schema/raw/master/csl-citation.json"}</w:instrText>
      </w:r>
      <w:r w:rsidR="00891AA1">
        <w:fldChar w:fldCharType="separate"/>
      </w:r>
      <w:r w:rsidR="00891AA1" w:rsidRPr="00891AA1">
        <w:rPr>
          <w:noProof/>
        </w:rPr>
        <w:t>[1]</w:t>
      </w:r>
      <w:r w:rsidR="00891AA1">
        <w:fldChar w:fldCharType="end"/>
      </w:r>
      <w:r w:rsidRPr="00285A67">
        <w:t xml:space="preserve">. For each cycle of the test will be focus on a specific domain, and PISA 2012 focused on mathematics domain. PISA 2012 focus on students’ mathematics literacy also investigated student and school background such as instructional activities. PISA questionaries for students and schools are scientifically designed based on meticulous theoretical background concepts, making them reliable. PISA 2012 data is the newest </w:t>
      </w:r>
      <w:r w:rsidRPr="00285A67">
        <w:lastRenderedPageBreak/>
        <w:t xml:space="preserve">data available on OECD website that focused on mathematics domain. The next PISA survey that focused on mathematics literacy is PISA 2021, and until this study is conducted the assessment processes are still on going. The Indonesian PISA 2012 data set includes all observations of 5,622 students from 209 schools. </w:t>
      </w:r>
    </w:p>
    <w:p w14:paraId="19E221DD" w14:textId="77777777" w:rsidR="00285A67" w:rsidRPr="00285A67" w:rsidRDefault="00285A67" w:rsidP="00285A67">
      <w:pPr>
        <w:pStyle w:val="Paragraph"/>
      </w:pPr>
      <w:r w:rsidRPr="00285A67">
        <w:t>The dependent variable in this study is students’ mathematics literacy ability in PISA 2012. Five plausible values (PVs) for each student’s mathematics literacy ability aspects (employ, formulate, and interpret) were computed in PISA 2012 to describe the multiple estimation of student performance in mathematics literacy. All five PVs are included in the current analysis.</w:t>
      </w:r>
    </w:p>
    <w:p w14:paraId="1339C9F8" w14:textId="77777777" w:rsidR="00285A67" w:rsidRPr="00285A67" w:rsidRDefault="00285A67" w:rsidP="00285A67">
      <w:pPr>
        <w:pStyle w:val="Paragraph"/>
      </w:pPr>
    </w:p>
    <w:p w14:paraId="2B05E8CA" w14:textId="77777777" w:rsidR="00285A67" w:rsidRPr="00285A67" w:rsidRDefault="00285A67" w:rsidP="00285A67">
      <w:pPr>
        <w:pStyle w:val="Paragraph"/>
      </w:pPr>
      <w:r w:rsidRPr="00285A67">
        <w:t xml:space="preserve">The PISA 2012 is structured data with level-1 of hierarchy is the student and the level-2 is the school. Student-level independent variables include teacher supports and cognitive activation. The teacher supports are accessed by responses toward four questions on students’ questionnaire, which are: (1) lets us know we </w:t>
      </w:r>
      <w:proofErr w:type="gramStart"/>
      <w:r w:rsidRPr="00285A67">
        <w:t>have to</w:t>
      </w:r>
      <w:proofErr w:type="gramEnd"/>
      <w:r w:rsidRPr="00285A67">
        <w:t xml:space="preserve"> work hard, (2) provides extra help when needed, (3) helps students with learning, and (4) gives opportunity to express opinions. Responses were coded as 1: Strongly agree, 2: Agree, 3: Disagree, 4: Strongly disagree. As all the questions are positive questions related to teacher supports, the responses code must be reserved before the data analysis is done. As a result, 1 indicates the lowest teacher support and 4 indicates the highest teacher support. The cognitive activations are accessed by responses toward nine questions on student’s questionnaire. The questions are related teacher activities in the classroom that can encourage students to maximize their cognitive potential such as: “teacher encourages to reflect problems”, “gives problems that require to think” and many more. The responses for cognitive activation questions were coded the same as teacher supports code, so the responses code must be reserved before the data analysis is done. As a result, 1 indicates the lowest cognitive activation and 4 indicates the highest cognitive activation.</w:t>
      </w:r>
    </w:p>
    <w:p w14:paraId="1CC061FB" w14:textId="77777777" w:rsidR="00285A67" w:rsidRPr="00285A67" w:rsidRDefault="00285A67" w:rsidP="00285A67">
      <w:pPr>
        <w:pStyle w:val="Paragraph"/>
      </w:pPr>
    </w:p>
    <w:p w14:paraId="6852B7A0" w14:textId="37246FDB" w:rsidR="00285A67" w:rsidRDefault="00285A67" w:rsidP="00285A67">
      <w:pPr>
        <w:pStyle w:val="Paragraph"/>
      </w:pPr>
      <w:r w:rsidRPr="00285A67">
        <w:t>The school-level independent variable in this study is the school type. After deleting all the missing values and excluding the school that only has 1 sample student from the study, a total of 3,601 from 208 schools participated. Among 3,601 students, the 1,457 students are from 96 private schools and 2,144 students are from 112 public schools. All the variables included in this study is shown in the table 1.</w:t>
      </w:r>
    </w:p>
    <w:p w14:paraId="729F1ED7" w14:textId="6AD53A5F" w:rsidR="00285A67" w:rsidRDefault="00285A67" w:rsidP="006A627B">
      <w:pPr>
        <w:pStyle w:val="Heading2"/>
      </w:pPr>
      <w:r>
        <w:t xml:space="preserve">Data Analysis </w:t>
      </w:r>
    </w:p>
    <w:p w14:paraId="5081B398" w14:textId="4E3DFE74" w:rsidR="00285A67" w:rsidRPr="00285A67" w:rsidRDefault="00285A67" w:rsidP="00285A67">
      <w:pPr>
        <w:pStyle w:val="Paragraph"/>
      </w:pPr>
      <w:r w:rsidRPr="00285A67">
        <w:t xml:space="preserve">PISA data is a nested structured data, a two-level linear model was applied in this study </w:t>
      </w:r>
      <w:r w:rsidRPr="00285A67">
        <w:fldChar w:fldCharType="begin" w:fldLock="1"/>
      </w:r>
      <w:r w:rsidR="00F52729">
        <w:instrText>ADDIN CSL_CITATION {"citationItems":[{"id":"ITEM-1","itemData":{"DOI":"10.1016/B978-0-08-044894-7.01336-1","ISBN":"9780080448947","abstract":"In applications of generalized linear models to education, observations at one level are frequently nested within units at another level. For example, we have measurements on students, who are located within a class, which is within a school, and so on. Methods for analyzing such data go back several decades, but new methods have led to many extensions and interesting ways of interpreting such models. These include models for multiple measures on individuals (such as longitudinal studies), and individuals nested within studies (for meta-analysis). These models also directly solve the aggregation problem: statistics on higher level units (e.g., correlations of school or classroom means) often do not equal (and may even be opposite in sign to) those for lower level units (both overall and within each higher level unit). © 2010 Elsevier Ltd. All rights reserved.","author":[{"dropping-particle":"","family":"Raudenbush","given":"Stephen W.","non-dropping-particle":"","parse-names":false,"suffix":""},{"dropping-particle":"","family":"Bryk","given":"Anthony S.","non-dropping-particle":"","parse-names":false,"suffix":""}],"container-title":"Sage Publications","edition":"Second Edi","id":"ITEM-1","issued":{"date-parts":[["2002"]]},"number-of-pages":"210-215","publisher-place":"California","title":"Hierarchical linear modeling: Applications and data analysis methods","type":"book"},"uris":["http://www.mendeley.com/documents/?uuid=e8b7465b-3a9c-4017-8637-371e8e64f307"]}],"mendeley":{"formattedCitation":"[13]","plainTextFormattedCitation":"[13]","previouslyFormattedCitation":"[13]"},"properties":{"noteIndex":0},"schema":"https://github.com/citation-style-language/schema/raw/master/csl-citation.json"}</w:instrText>
      </w:r>
      <w:r w:rsidRPr="00285A67">
        <w:fldChar w:fldCharType="separate"/>
      </w:r>
      <w:r w:rsidR="006366A3" w:rsidRPr="006366A3">
        <w:rPr>
          <w:noProof/>
        </w:rPr>
        <w:t>[13]</w:t>
      </w:r>
      <w:r w:rsidRPr="00285A67">
        <w:fldChar w:fldCharType="end"/>
      </w:r>
      <w:r w:rsidRPr="00285A67">
        <w:t xml:space="preserve">. The information about the sample characteristics were collected from the descriptive statistics calculation. While, the parameters of the multilevel model were estimated using the restricted maximum likelihood (REML) method through the use of </w:t>
      </w:r>
      <w:proofErr w:type="spellStart"/>
      <w:r w:rsidRPr="00285A67">
        <w:t>lme</w:t>
      </w:r>
      <w:proofErr w:type="spellEnd"/>
      <w:r w:rsidRPr="00285A67">
        <w:t xml:space="preserve">() function from </w:t>
      </w:r>
      <w:proofErr w:type="spellStart"/>
      <w:r w:rsidRPr="00285A67">
        <w:t>nlme</w:t>
      </w:r>
      <w:proofErr w:type="spellEnd"/>
      <w:r w:rsidRPr="00285A67">
        <w:t xml:space="preserve"> package </w:t>
      </w:r>
      <w:r w:rsidRPr="00285A67">
        <w:fldChar w:fldCharType="begin" w:fldLock="1"/>
      </w:r>
      <w:r w:rsidR="00F52729">
        <w:instrText>ADDIN CSL_CITATION {"citationItems":[{"id":"ITEM-1","itemData":{"author":[{"dropping-particle":"","family":"Pinheiro","given":"José","non-dropping-particle":"","parse-names":false,"suffix":""},{"dropping-particle":"","family":"Bates","given":"Douglas","non-dropping-particle":"","parse-names":false,"suffix":""},{"dropping-particle":"","family":"DebRoy","given":"Saikat","non-dropping-particle":"","parse-names":false,"suffix":""},{"dropping-particle":"","family":"Sarkar","given":"Deepayan","non-dropping-particle":"","parse-names":false,"suffix":""},{"dropping-particle":"","family":"Heisterkamp","given":"Siem","non-dropping-particle":"","parse-names":false,"suffix":""}],"id":"ITEM-1","issued":{"date-parts":[["2022"]]},"title":"nlme: Linear and nonlinear mixed effects models, R package version 3.1-157","type":"article-journal"},"uris":["http://www.mendeley.com/documents/?uuid=43136960-01d2-4a55-a545-3cb825b7f296"]}],"mendeley":{"formattedCitation":"[14]","plainTextFormattedCitation":"[14]","previouslyFormattedCitation":"[14]"},"properties":{"noteIndex":0},"schema":"https://github.com/citation-style-language/schema/raw/master/csl-citation.json"}</w:instrText>
      </w:r>
      <w:r w:rsidRPr="00285A67">
        <w:fldChar w:fldCharType="separate"/>
      </w:r>
      <w:r w:rsidR="006366A3" w:rsidRPr="006366A3">
        <w:rPr>
          <w:noProof/>
        </w:rPr>
        <w:t>[14]</w:t>
      </w:r>
      <w:r w:rsidRPr="00285A67">
        <w:fldChar w:fldCharType="end"/>
      </w:r>
      <w:r w:rsidRPr="00285A67">
        <w:t xml:space="preserve"> in R statistical software version 1.4.1717. Three models were used in this study. The detail</w:t>
      </w:r>
      <w:r w:rsidR="006A627B">
        <w:t>s</w:t>
      </w:r>
      <w:r w:rsidRPr="00285A67">
        <w:t xml:space="preserve"> about each model </w:t>
      </w:r>
      <w:r w:rsidR="006A627B">
        <w:t>are</w:t>
      </w:r>
      <w:r w:rsidRPr="00285A67">
        <w:t xml:space="preserve"> explained below.</w:t>
      </w:r>
    </w:p>
    <w:p w14:paraId="4223A892" w14:textId="77777777" w:rsidR="00BA3B3D" w:rsidRPr="00075EA6" w:rsidRDefault="00BA3B3D" w:rsidP="00285A67">
      <w:pPr>
        <w:pStyle w:val="Paragraph"/>
        <w:ind w:firstLine="0"/>
      </w:pPr>
    </w:p>
    <w:p w14:paraId="76E6FB3F" w14:textId="118C5231" w:rsidR="00F71FF5" w:rsidRDefault="00285A67">
      <w:pPr>
        <w:pStyle w:val="Paragraphbulleted"/>
        <w:ind w:left="641" w:hanging="357"/>
      </w:pPr>
      <w:r>
        <w:rPr>
          <w:b/>
          <w:bCs/>
        </w:rPr>
        <w:t xml:space="preserve">Model </w:t>
      </w:r>
      <w:r w:rsidR="001258D2">
        <w:rPr>
          <w:b/>
          <w:bCs/>
        </w:rPr>
        <w:t>0</w:t>
      </w:r>
      <w:r>
        <w:rPr>
          <w:b/>
          <w:bCs/>
        </w:rPr>
        <w:t>: The Null Model</w:t>
      </w:r>
    </w:p>
    <w:p w14:paraId="7575E226" w14:textId="77777777" w:rsidR="00F71FF5" w:rsidRPr="00F71FF5" w:rsidRDefault="00F71FF5" w:rsidP="00F71FF5">
      <w:pPr>
        <w:pStyle w:val="Paragraphbulleted"/>
        <w:numPr>
          <w:ilvl w:val="0"/>
          <w:numId w:val="0"/>
        </w:numPr>
        <w:ind w:left="641"/>
      </w:pPr>
      <w:r w:rsidRPr="00F71FF5">
        <w:t>The null model is a model without predictors. Null model or model 0 including only the intercept was used to assess the degree of unexplained variance in mathematics literacy ability between students within schools. This model can be expressed as equation (1).</w:t>
      </w:r>
    </w:p>
    <w:p w14:paraId="4671BDD4" w14:textId="0AD1BEC8" w:rsidR="00F71FF5" w:rsidRPr="00F71FF5" w:rsidRDefault="00000000" w:rsidP="00F71FF5">
      <w:pPr>
        <w:pStyle w:val="Paragraphbulleted"/>
        <w:numPr>
          <w:ilvl w:val="0"/>
          <w:numId w:val="0"/>
        </w:numPr>
        <w:ind w:left="709"/>
        <w:jc w:val="right"/>
      </w:pP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0j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oMath>
      <w:r w:rsidR="00F71FF5" w:rsidRPr="00F71FF5">
        <w:tab/>
      </w:r>
      <w:r w:rsidR="00F71FF5" w:rsidRPr="00F71FF5">
        <w:tab/>
      </w:r>
      <w:r w:rsidR="00F71FF5" w:rsidRPr="00F71FF5">
        <w:tab/>
      </w:r>
      <w:r w:rsidR="00F71FF5" w:rsidRPr="00F71FF5">
        <w:tab/>
      </w:r>
      <w:r w:rsidR="00F71FF5" w:rsidRPr="00F71FF5">
        <w:tab/>
        <w:t>(1)</w:t>
      </w:r>
    </w:p>
    <w:p w14:paraId="148C3AF8" w14:textId="5DB79907" w:rsidR="00F71FF5" w:rsidRPr="00F71FF5" w:rsidRDefault="00000000" w:rsidP="00F71FF5">
      <w:pPr>
        <w:pStyle w:val="Paragraphbulleted"/>
        <w:numPr>
          <w:ilvl w:val="0"/>
          <w:numId w:val="0"/>
        </w:numPr>
        <w:ind w:left="1985"/>
      </w:pP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F71FF5" w:rsidRPr="00F71FF5">
        <w:t xml:space="preserve"> = responses (employ, formulate, and interpret) </w:t>
      </w:r>
    </w:p>
    <w:p w14:paraId="62BF0479" w14:textId="3039EE49" w:rsidR="00F71FF5" w:rsidRPr="00F71FF5" w:rsidRDefault="00000000" w:rsidP="00F71FF5">
      <w:pPr>
        <w:pStyle w:val="Paragraphbulleted"/>
        <w:numPr>
          <w:ilvl w:val="0"/>
          <w:numId w:val="0"/>
        </w:numPr>
        <w:ind w:left="1985"/>
      </w:pPr>
      <m:oMath>
        <m:sSub>
          <m:sSubPr>
            <m:ctrlPr>
              <w:rPr>
                <w:rFonts w:ascii="Cambria Math" w:hAnsi="Cambria Math"/>
                <w:i/>
              </w:rPr>
            </m:ctrlPr>
          </m:sSubPr>
          <m:e>
            <m:r>
              <w:rPr>
                <w:rFonts w:ascii="Cambria Math" w:hAnsi="Cambria Math"/>
              </w:rPr>
              <m:t>τ</m:t>
            </m:r>
          </m:e>
          <m:sub>
            <m:r>
              <w:rPr>
                <w:rFonts w:ascii="Cambria Math" w:hAnsi="Cambria Math"/>
              </w:rPr>
              <m:t>00</m:t>
            </m:r>
          </m:sub>
        </m:sSub>
        <m:r>
          <w:rPr>
            <w:rFonts w:ascii="Cambria Math" w:hAnsi="Cambria Math"/>
          </w:rPr>
          <m:t>=</m:t>
        </m:r>
      </m:oMath>
      <w:r w:rsidR="00F71FF5" w:rsidRPr="00F71FF5">
        <w:t xml:space="preserve"> mathematics literacy variance of the students between schools</w:t>
      </w:r>
    </w:p>
    <w:p w14:paraId="551B81A1" w14:textId="77777777" w:rsidR="00F71FF5" w:rsidRPr="00F71FF5" w:rsidRDefault="00F71FF5" w:rsidP="00F71FF5">
      <w:pPr>
        <w:pStyle w:val="Paragraphbulleted"/>
        <w:numPr>
          <w:ilvl w:val="0"/>
          <w:numId w:val="0"/>
        </w:numPr>
        <w:ind w:left="709"/>
      </w:pPr>
    </w:p>
    <w:p w14:paraId="1B48D801" w14:textId="77777777" w:rsidR="00F71FF5" w:rsidRPr="00F71FF5" w:rsidRDefault="00F71FF5" w:rsidP="00F71FF5">
      <w:pPr>
        <w:pStyle w:val="Paragraphbulleted"/>
        <w:numPr>
          <w:ilvl w:val="0"/>
          <w:numId w:val="0"/>
        </w:numPr>
        <w:ind w:left="709"/>
      </w:pPr>
      <w:r w:rsidRPr="00F71FF5">
        <w:t>From the null model, the value of Interclass Correlation Coefficient (ICC) also can be calculated. The ICC is a measure of proportion of variation in the outcome variable that occurs between groups versus the total variation present. The ICC formula is shown in the equation (2).</w:t>
      </w:r>
    </w:p>
    <w:p w14:paraId="54936206" w14:textId="02F32E6B" w:rsidR="00F71FF5" w:rsidRPr="00F71FF5" w:rsidRDefault="00F71FF5" w:rsidP="00F71FF5">
      <w:pPr>
        <w:pStyle w:val="Paragraphbulleted"/>
        <w:numPr>
          <w:ilvl w:val="0"/>
          <w:numId w:val="0"/>
        </w:numPr>
        <w:spacing w:line="360" w:lineRule="auto"/>
        <w:ind w:left="709"/>
        <w:jc w:val="right"/>
      </w:pPr>
      <m:oMath>
        <m:r>
          <w:rPr>
            <w:rFonts w:ascii="Cambria Math" w:hAnsi="Cambria Math"/>
          </w:rPr>
          <m:t>ICC=</m:t>
        </m:r>
        <m:f>
          <m:fPr>
            <m:ctrlPr>
              <w:rPr>
                <w:rFonts w:ascii="Cambria Math" w:hAnsi="Cambria Math"/>
                <w:i/>
              </w:rPr>
            </m:ctrlPr>
          </m:fPr>
          <m:num>
            <m:sSub>
              <m:sSubPr>
                <m:ctrlPr>
                  <w:rPr>
                    <w:rFonts w:ascii="Cambria Math" w:hAnsi="Cambria Math"/>
                    <w:i/>
                  </w:rPr>
                </m:ctrlPr>
              </m:sSubPr>
              <m:e>
                <m:r>
                  <w:rPr>
                    <w:rFonts w:ascii="Cambria Math" w:hAnsi="Cambria Math"/>
                  </w:rPr>
                  <m:t>τ</m:t>
                </m:r>
              </m:e>
              <m:sub>
                <m:r>
                  <w:rPr>
                    <w:rFonts w:ascii="Cambria Math" w:hAnsi="Cambria Math"/>
                  </w:rPr>
                  <m:t>00</m:t>
                </m:r>
              </m:sub>
            </m:sSub>
          </m:num>
          <m:den>
            <m:sSub>
              <m:sSubPr>
                <m:ctrlPr>
                  <w:rPr>
                    <w:rFonts w:ascii="Cambria Math" w:hAnsi="Cambria Math"/>
                    <w:i/>
                  </w:rPr>
                </m:ctrlPr>
              </m:sSubPr>
              <m:e>
                <m:r>
                  <w:rPr>
                    <w:rFonts w:ascii="Cambria Math" w:hAnsi="Cambria Math"/>
                  </w:rPr>
                  <m:t>τ</m:t>
                </m:r>
              </m:e>
              <m:sub>
                <m:r>
                  <w:rPr>
                    <w:rFonts w:ascii="Cambria Math" w:hAnsi="Cambria Math"/>
                  </w:rPr>
                  <m:t>00</m:t>
                </m:r>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 xml:space="preserve"> </m:t>
            </m:r>
          </m:den>
        </m:f>
      </m:oMath>
      <w:r w:rsidRPr="00F71FF5">
        <w:tab/>
      </w:r>
      <w:r w:rsidRPr="00F71FF5">
        <w:tab/>
      </w:r>
      <w:r w:rsidRPr="00F71FF5">
        <w:tab/>
      </w:r>
      <w:r w:rsidRPr="00F71FF5">
        <w:tab/>
      </w:r>
      <w:r w:rsidRPr="00F71FF5">
        <w:tab/>
      </w:r>
      <w:r w:rsidRPr="00F71FF5">
        <w:tab/>
        <w:t>(2)</w:t>
      </w:r>
    </w:p>
    <w:p w14:paraId="35245AD8" w14:textId="280FEEB2" w:rsidR="00F71FF5" w:rsidRPr="00F71FF5" w:rsidRDefault="00F71FF5" w:rsidP="00F71FF5">
      <w:pPr>
        <w:pStyle w:val="Paragraphbulleted"/>
        <w:numPr>
          <w:ilvl w:val="0"/>
          <w:numId w:val="0"/>
        </w:numPr>
        <w:ind w:left="709"/>
      </w:pPr>
      <w:r w:rsidRPr="00F71FF5">
        <w:t>On the equation (</w:t>
      </w:r>
      <w:proofErr w:type="gramStart"/>
      <w:r w:rsidRPr="00F71FF5">
        <w:t>2 )</w:t>
      </w:r>
      <w:proofErr w:type="gramEnd"/>
      <w:r w:rsidRPr="00F71FF5">
        <w:t xml:space="preserve">,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F71FF5">
        <w:t xml:space="preserve"> represented the mathematics literacy variance of the students within schools</w:t>
      </w:r>
    </w:p>
    <w:p w14:paraId="4EBDE211" w14:textId="77777777" w:rsidR="00F71FF5" w:rsidRPr="00F71FF5" w:rsidRDefault="00F71FF5" w:rsidP="00F71FF5">
      <w:pPr>
        <w:pStyle w:val="Paragraphbulleted"/>
        <w:numPr>
          <w:ilvl w:val="0"/>
          <w:numId w:val="0"/>
        </w:numPr>
        <w:ind w:left="709"/>
      </w:pPr>
    </w:p>
    <w:p w14:paraId="65967898" w14:textId="4FBE3719" w:rsidR="00F71FF5" w:rsidRPr="00F71FF5" w:rsidRDefault="00F71FF5" w:rsidP="00F71FF5">
      <w:pPr>
        <w:pStyle w:val="Paragraphbulleted"/>
        <w:numPr>
          <w:ilvl w:val="0"/>
          <w:numId w:val="0"/>
        </w:numPr>
        <w:ind w:left="709"/>
      </w:pPr>
      <w:r w:rsidRPr="00F71FF5">
        <w:t xml:space="preserve">The needs of multilevel modelling can be observed from the value of ICC and the Design Effect. If the ICC is greater than zero and the DE is greater than 2, it means that multilevel modelling analysis is needed. </w:t>
      </w:r>
      <w:r w:rsidRPr="00F71FF5">
        <w:fldChar w:fldCharType="begin" w:fldLock="1"/>
      </w:r>
      <w:r w:rsidR="00F52729">
        <w:instrText>ADDIN CSL_CITATION {"citationItems":[{"id":"ITEM-1","itemData":{"DOI":"10.1016/j.jsp.2009.09.002","ISSN":"00224405","PMID":"20006989","abstract":"Collecting data from students within classrooms or schools, and collecting data from students on multiple occasions over time, are two common sampling methods used in educational research that often require multilevel modeling (MLM) data analysis techniques to avoid Type-1 errors. The purpose of this article is to clarify the seven major steps involved in a multilevel analysis: (1) clarifying the research question, (2) choosing the appropriate parameter estimator, (3) assessing the need for MLM, (4) building the level-1 model, (5) building the level-2 model, (6) multilevel effect size reporting, and (7) likelihood ratio model testing. The seven steps are illustrated with both a cross-sectional and a longitudinal MLM example from the National Educational Longitudinal Study (NELS) dataset. The goal of this article is to assist applied researchers in conducting and interpreting multilevel analyses and to offer recommendations to guide the reporting of MLM analysis results. © 2009 Elsevier Ltd. All rights reserved.","author":[{"dropping-particle":"","family":"Peugh","given":"James L.","non-dropping-particle":"","parse-names":false,"suffix":""}],"container-title":"Journal of School Psychology","id":"ITEM-1","issue":"1","issued":{"date-parts":[["2010"]]},"page":"85-112","publisher":"Elsevier Ltd","title":"A practical guide to multilevel modeling","type":"article-journal","volume":"48"},"uris":["http://www.mendeley.com/documents/?uuid=8dca36db-7921-46c4-ba28-94867adbecf1"]}],"mendeley":{"formattedCitation":"[15]","plainTextFormattedCitation":"[15]","previouslyFormattedCitation":"[15]"},"properties":{"noteIndex":0},"schema":"https://github.com/citation-style-language/schema/raw/master/csl-citation.json"}</w:instrText>
      </w:r>
      <w:r w:rsidRPr="00F71FF5">
        <w:fldChar w:fldCharType="separate"/>
      </w:r>
      <w:r w:rsidR="006366A3" w:rsidRPr="006366A3">
        <w:rPr>
          <w:noProof/>
        </w:rPr>
        <w:t>[15]</w:t>
      </w:r>
      <w:r w:rsidRPr="00F71FF5">
        <w:fldChar w:fldCharType="end"/>
      </w:r>
      <w:r w:rsidRPr="00F71FF5">
        <w:t xml:space="preserve">. The formula of DE can be seen in the equation (3). </w:t>
      </w:r>
    </w:p>
    <w:p w14:paraId="4556CA9E" w14:textId="0AC67A4E" w:rsidR="0039360C" w:rsidRPr="00701C3D" w:rsidRDefault="00F71FF5" w:rsidP="00701C3D">
      <w:pPr>
        <w:pStyle w:val="Paragraphbulleted"/>
        <w:numPr>
          <w:ilvl w:val="0"/>
          <w:numId w:val="0"/>
        </w:numPr>
        <w:ind w:left="709"/>
        <w:jc w:val="right"/>
      </w:pPr>
      <m:oMath>
        <m:r>
          <w:rPr>
            <w:rFonts w:ascii="Cambria Math" w:hAnsi="Cambria Math"/>
          </w:rPr>
          <m:t>DE=1+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students</m:t>
                    </m:r>
                  </m:sub>
                </m:sSub>
              </m:num>
              <m:den>
                <m:sSub>
                  <m:sSubPr>
                    <m:ctrlPr>
                      <w:rPr>
                        <w:rFonts w:ascii="Cambria Math" w:hAnsi="Cambria Math"/>
                        <w:i/>
                      </w:rPr>
                    </m:ctrlPr>
                  </m:sSubPr>
                  <m:e>
                    <m:r>
                      <w:rPr>
                        <w:rFonts w:ascii="Cambria Math" w:hAnsi="Cambria Math"/>
                      </w:rPr>
                      <m:t>n</m:t>
                    </m:r>
                  </m:e>
                  <m:sub>
                    <m:r>
                      <w:rPr>
                        <w:rFonts w:ascii="Cambria Math" w:hAnsi="Cambria Math"/>
                      </w:rPr>
                      <m:t>school</m:t>
                    </m:r>
                  </m:sub>
                </m:sSub>
              </m:den>
            </m:f>
          </m:e>
        </m:d>
        <m:r>
          <w:rPr>
            <w:rFonts w:ascii="Cambria Math" w:hAnsi="Cambria Math"/>
          </w:rPr>
          <m:t>×ICC</m:t>
        </m:r>
      </m:oMath>
      <w:r w:rsidRPr="00F71FF5">
        <w:tab/>
      </w:r>
      <w:r w:rsidRPr="00F71FF5">
        <w:tab/>
      </w:r>
      <w:r w:rsidRPr="00F71FF5">
        <w:tab/>
      </w:r>
      <w:r w:rsidRPr="00F71FF5">
        <w:tab/>
        <w:t>(3)</w:t>
      </w:r>
    </w:p>
    <w:p w14:paraId="1047022C" w14:textId="1E0A82AC" w:rsidR="00A354A9" w:rsidRDefault="00A354A9" w:rsidP="00F46500">
      <w:pPr>
        <w:pStyle w:val="Paragraphbulleted"/>
        <w:numPr>
          <w:ilvl w:val="0"/>
          <w:numId w:val="0"/>
        </w:numPr>
        <w:ind w:left="641" w:hanging="357"/>
        <w:jc w:val="center"/>
      </w:pPr>
      <w:r w:rsidRPr="00075EA6">
        <w:rPr>
          <w:b/>
        </w:rPr>
        <w:lastRenderedPageBreak/>
        <w:t xml:space="preserve">TABLE 1. </w:t>
      </w:r>
      <w:r w:rsidR="00F46500">
        <w:t>List of Variables Included in this Study</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891"/>
        <w:gridCol w:w="4785"/>
      </w:tblGrid>
      <w:tr w:rsidR="00A354A9" w:rsidRPr="00A354A9" w14:paraId="576B302D" w14:textId="77777777" w:rsidTr="00A354A9">
        <w:trPr>
          <w:trHeight w:val="274"/>
        </w:trPr>
        <w:tc>
          <w:tcPr>
            <w:tcW w:w="8363" w:type="dxa"/>
            <w:gridSpan w:val="3"/>
            <w:tcBorders>
              <w:top w:val="single" w:sz="4" w:space="0" w:color="auto"/>
              <w:bottom w:val="single" w:sz="4" w:space="0" w:color="auto"/>
            </w:tcBorders>
          </w:tcPr>
          <w:p w14:paraId="165509F1" w14:textId="77777777" w:rsidR="00A354A9" w:rsidRPr="00A354A9" w:rsidRDefault="00A354A9" w:rsidP="0064676D">
            <w:pPr>
              <w:rPr>
                <w:b/>
                <w:bCs/>
                <w:i/>
                <w:iCs/>
                <w:sz w:val="18"/>
                <w:szCs w:val="18"/>
              </w:rPr>
            </w:pPr>
            <w:r w:rsidRPr="00A354A9">
              <w:rPr>
                <w:b/>
                <w:bCs/>
                <w:i/>
                <w:iCs/>
                <w:sz w:val="18"/>
                <w:szCs w:val="18"/>
              </w:rPr>
              <w:t xml:space="preserve">Independent Variables </w:t>
            </w:r>
          </w:p>
        </w:tc>
      </w:tr>
      <w:tr w:rsidR="00A354A9" w:rsidRPr="00A354A9" w14:paraId="0A43B745" w14:textId="77777777" w:rsidTr="00A354A9">
        <w:tc>
          <w:tcPr>
            <w:tcW w:w="687" w:type="dxa"/>
            <w:tcBorders>
              <w:top w:val="single" w:sz="4" w:space="0" w:color="auto"/>
            </w:tcBorders>
          </w:tcPr>
          <w:p w14:paraId="46240F14" w14:textId="77777777" w:rsidR="00A354A9" w:rsidRPr="00A354A9" w:rsidRDefault="00A354A9" w:rsidP="0064676D">
            <w:pPr>
              <w:rPr>
                <w:sz w:val="20"/>
              </w:rPr>
            </w:pPr>
            <w:r w:rsidRPr="00A354A9">
              <w:rPr>
                <w:sz w:val="20"/>
              </w:rPr>
              <w:t>1.</w:t>
            </w:r>
          </w:p>
        </w:tc>
        <w:tc>
          <w:tcPr>
            <w:tcW w:w="2891" w:type="dxa"/>
            <w:tcBorders>
              <w:top w:val="single" w:sz="4" w:space="0" w:color="auto"/>
            </w:tcBorders>
          </w:tcPr>
          <w:p w14:paraId="70635F35" w14:textId="77777777" w:rsidR="00A354A9" w:rsidRPr="00A354A9" w:rsidRDefault="00A354A9" w:rsidP="0064676D">
            <w:pPr>
              <w:rPr>
                <w:sz w:val="20"/>
              </w:rPr>
            </w:pPr>
            <w:r w:rsidRPr="00A354A9">
              <w:rPr>
                <w:sz w:val="20"/>
              </w:rPr>
              <w:t xml:space="preserve">Level 1: Student Level </w:t>
            </w:r>
          </w:p>
        </w:tc>
        <w:tc>
          <w:tcPr>
            <w:tcW w:w="4785" w:type="dxa"/>
            <w:tcBorders>
              <w:top w:val="single" w:sz="4" w:space="0" w:color="auto"/>
            </w:tcBorders>
          </w:tcPr>
          <w:p w14:paraId="2F487881" w14:textId="77777777" w:rsidR="00A354A9" w:rsidRPr="00A354A9" w:rsidRDefault="00A354A9" w:rsidP="0064676D">
            <w:pPr>
              <w:rPr>
                <w:sz w:val="20"/>
              </w:rPr>
            </w:pPr>
          </w:p>
        </w:tc>
      </w:tr>
      <w:tr w:rsidR="00A354A9" w:rsidRPr="00A354A9" w14:paraId="01AEA5CB" w14:textId="77777777" w:rsidTr="00A354A9">
        <w:tc>
          <w:tcPr>
            <w:tcW w:w="687" w:type="dxa"/>
          </w:tcPr>
          <w:p w14:paraId="62DA93B4" w14:textId="77777777" w:rsidR="00A354A9" w:rsidRPr="00A354A9" w:rsidRDefault="00A354A9" w:rsidP="0064676D">
            <w:pPr>
              <w:rPr>
                <w:sz w:val="20"/>
              </w:rPr>
            </w:pPr>
          </w:p>
        </w:tc>
        <w:tc>
          <w:tcPr>
            <w:tcW w:w="2891" w:type="dxa"/>
          </w:tcPr>
          <w:p w14:paraId="76613EB9" w14:textId="77777777" w:rsidR="00A354A9" w:rsidRPr="00A354A9" w:rsidRDefault="00A354A9" w:rsidP="0064676D">
            <w:pPr>
              <w:rPr>
                <w:sz w:val="20"/>
              </w:rPr>
            </w:pPr>
            <w:r w:rsidRPr="00A354A9">
              <w:rPr>
                <w:sz w:val="20"/>
              </w:rPr>
              <w:t xml:space="preserve">1.1 Teacher support </w:t>
            </w:r>
          </w:p>
        </w:tc>
        <w:tc>
          <w:tcPr>
            <w:tcW w:w="4785" w:type="dxa"/>
          </w:tcPr>
          <w:p w14:paraId="0BB03359" w14:textId="77777777" w:rsidR="00A354A9" w:rsidRPr="00A354A9" w:rsidRDefault="00A354A9" w:rsidP="0064676D">
            <w:pPr>
              <w:rPr>
                <w:sz w:val="20"/>
              </w:rPr>
            </w:pPr>
          </w:p>
        </w:tc>
      </w:tr>
      <w:tr w:rsidR="00A354A9" w:rsidRPr="00A354A9" w14:paraId="68D9D84F" w14:textId="77777777" w:rsidTr="00A354A9">
        <w:tc>
          <w:tcPr>
            <w:tcW w:w="687" w:type="dxa"/>
          </w:tcPr>
          <w:p w14:paraId="241B02A9" w14:textId="77777777" w:rsidR="00A354A9" w:rsidRPr="00A354A9" w:rsidRDefault="00A354A9" w:rsidP="0064676D">
            <w:pPr>
              <w:rPr>
                <w:sz w:val="20"/>
              </w:rPr>
            </w:pPr>
          </w:p>
        </w:tc>
        <w:tc>
          <w:tcPr>
            <w:tcW w:w="2891" w:type="dxa"/>
          </w:tcPr>
          <w:p w14:paraId="3B41E3CA" w14:textId="77777777" w:rsidR="00A354A9" w:rsidRPr="00A354A9" w:rsidRDefault="00A354A9" w:rsidP="0064676D">
            <w:pPr>
              <w:rPr>
                <w:sz w:val="20"/>
              </w:rPr>
            </w:pPr>
            <w:r w:rsidRPr="00A354A9">
              <w:rPr>
                <w:sz w:val="20"/>
              </w:rPr>
              <w:t xml:space="preserve">       ST83Q01</w:t>
            </w:r>
          </w:p>
        </w:tc>
        <w:tc>
          <w:tcPr>
            <w:tcW w:w="4785" w:type="dxa"/>
          </w:tcPr>
          <w:p w14:paraId="69CC976B" w14:textId="77777777" w:rsidR="00A354A9" w:rsidRPr="00A354A9" w:rsidRDefault="00A354A9" w:rsidP="0064676D">
            <w:pPr>
              <w:rPr>
                <w:sz w:val="20"/>
              </w:rPr>
            </w:pPr>
            <w:proofErr w:type="spellStart"/>
            <w:proofErr w:type="gramStart"/>
            <w:r w:rsidRPr="00A354A9">
              <w:rPr>
                <w:sz w:val="20"/>
              </w:rPr>
              <w:t>Lets</w:t>
            </w:r>
            <w:proofErr w:type="spellEnd"/>
            <w:proofErr w:type="gramEnd"/>
            <w:r w:rsidRPr="00A354A9">
              <w:rPr>
                <w:sz w:val="20"/>
              </w:rPr>
              <w:t xml:space="preserve"> Us Know We Have to Work Hard</w:t>
            </w:r>
          </w:p>
        </w:tc>
      </w:tr>
      <w:tr w:rsidR="00A354A9" w:rsidRPr="00A354A9" w14:paraId="2837125B" w14:textId="77777777" w:rsidTr="00A354A9">
        <w:tc>
          <w:tcPr>
            <w:tcW w:w="687" w:type="dxa"/>
          </w:tcPr>
          <w:p w14:paraId="084C32E2" w14:textId="77777777" w:rsidR="00A354A9" w:rsidRPr="00A354A9" w:rsidRDefault="00A354A9" w:rsidP="0064676D">
            <w:pPr>
              <w:rPr>
                <w:sz w:val="20"/>
              </w:rPr>
            </w:pPr>
          </w:p>
        </w:tc>
        <w:tc>
          <w:tcPr>
            <w:tcW w:w="2891" w:type="dxa"/>
          </w:tcPr>
          <w:p w14:paraId="6E48B5F5" w14:textId="77777777" w:rsidR="00A354A9" w:rsidRPr="00A354A9" w:rsidRDefault="00A354A9" w:rsidP="0064676D">
            <w:pPr>
              <w:rPr>
                <w:sz w:val="20"/>
              </w:rPr>
            </w:pPr>
            <w:r w:rsidRPr="00A354A9">
              <w:rPr>
                <w:sz w:val="20"/>
              </w:rPr>
              <w:t xml:space="preserve">       ST83Q02</w:t>
            </w:r>
          </w:p>
        </w:tc>
        <w:tc>
          <w:tcPr>
            <w:tcW w:w="4785" w:type="dxa"/>
          </w:tcPr>
          <w:p w14:paraId="76795822" w14:textId="77777777" w:rsidR="00A354A9" w:rsidRPr="00A354A9" w:rsidRDefault="00A354A9" w:rsidP="0064676D">
            <w:pPr>
              <w:rPr>
                <w:sz w:val="20"/>
              </w:rPr>
            </w:pPr>
            <w:r w:rsidRPr="00A354A9">
              <w:rPr>
                <w:sz w:val="20"/>
              </w:rPr>
              <w:t>Provides Extra Help When Needed</w:t>
            </w:r>
          </w:p>
        </w:tc>
      </w:tr>
      <w:tr w:rsidR="00A354A9" w:rsidRPr="00A354A9" w14:paraId="681275AF" w14:textId="77777777" w:rsidTr="00A354A9">
        <w:tc>
          <w:tcPr>
            <w:tcW w:w="687" w:type="dxa"/>
          </w:tcPr>
          <w:p w14:paraId="63C7E63A" w14:textId="77777777" w:rsidR="00A354A9" w:rsidRPr="00A354A9" w:rsidRDefault="00A354A9" w:rsidP="0064676D">
            <w:pPr>
              <w:rPr>
                <w:sz w:val="20"/>
              </w:rPr>
            </w:pPr>
          </w:p>
        </w:tc>
        <w:tc>
          <w:tcPr>
            <w:tcW w:w="2891" w:type="dxa"/>
          </w:tcPr>
          <w:p w14:paraId="06D82F9E" w14:textId="77777777" w:rsidR="00A354A9" w:rsidRPr="00A354A9" w:rsidRDefault="00A354A9" w:rsidP="0064676D">
            <w:pPr>
              <w:rPr>
                <w:sz w:val="20"/>
              </w:rPr>
            </w:pPr>
            <w:r w:rsidRPr="00A354A9">
              <w:rPr>
                <w:sz w:val="20"/>
              </w:rPr>
              <w:t xml:space="preserve">       ST83Q03</w:t>
            </w:r>
          </w:p>
        </w:tc>
        <w:tc>
          <w:tcPr>
            <w:tcW w:w="4785" w:type="dxa"/>
          </w:tcPr>
          <w:p w14:paraId="2EA76D22" w14:textId="77777777" w:rsidR="00A354A9" w:rsidRPr="00A354A9" w:rsidRDefault="00A354A9" w:rsidP="0064676D">
            <w:pPr>
              <w:rPr>
                <w:sz w:val="20"/>
              </w:rPr>
            </w:pPr>
            <w:r w:rsidRPr="00A354A9">
              <w:rPr>
                <w:sz w:val="20"/>
              </w:rPr>
              <w:t>Helps Students with Learning</w:t>
            </w:r>
          </w:p>
        </w:tc>
      </w:tr>
      <w:tr w:rsidR="00A354A9" w:rsidRPr="00A354A9" w14:paraId="35C735E0" w14:textId="77777777" w:rsidTr="00A354A9">
        <w:tc>
          <w:tcPr>
            <w:tcW w:w="687" w:type="dxa"/>
          </w:tcPr>
          <w:p w14:paraId="2739AD97" w14:textId="77777777" w:rsidR="00A354A9" w:rsidRPr="00A354A9" w:rsidRDefault="00A354A9" w:rsidP="0064676D">
            <w:pPr>
              <w:rPr>
                <w:sz w:val="20"/>
              </w:rPr>
            </w:pPr>
          </w:p>
        </w:tc>
        <w:tc>
          <w:tcPr>
            <w:tcW w:w="2891" w:type="dxa"/>
          </w:tcPr>
          <w:p w14:paraId="6AC54CB9" w14:textId="77777777" w:rsidR="00A354A9" w:rsidRPr="00A354A9" w:rsidRDefault="00A354A9" w:rsidP="0064676D">
            <w:pPr>
              <w:rPr>
                <w:sz w:val="20"/>
              </w:rPr>
            </w:pPr>
            <w:r w:rsidRPr="00A354A9">
              <w:rPr>
                <w:sz w:val="20"/>
              </w:rPr>
              <w:t xml:space="preserve">       ST83Q04</w:t>
            </w:r>
          </w:p>
        </w:tc>
        <w:tc>
          <w:tcPr>
            <w:tcW w:w="4785" w:type="dxa"/>
          </w:tcPr>
          <w:p w14:paraId="2E1D515D" w14:textId="77777777" w:rsidR="00A354A9" w:rsidRPr="00A354A9" w:rsidRDefault="00A354A9" w:rsidP="0064676D">
            <w:pPr>
              <w:rPr>
                <w:sz w:val="20"/>
              </w:rPr>
            </w:pPr>
            <w:r w:rsidRPr="00A354A9">
              <w:rPr>
                <w:sz w:val="20"/>
              </w:rPr>
              <w:t>Gives Opportunity to Express Opinions</w:t>
            </w:r>
          </w:p>
        </w:tc>
      </w:tr>
      <w:tr w:rsidR="00A354A9" w:rsidRPr="00A354A9" w14:paraId="10A9DDA3" w14:textId="77777777" w:rsidTr="00A354A9">
        <w:tc>
          <w:tcPr>
            <w:tcW w:w="687" w:type="dxa"/>
          </w:tcPr>
          <w:p w14:paraId="366AAB17" w14:textId="77777777" w:rsidR="00A354A9" w:rsidRPr="00A354A9" w:rsidRDefault="00A354A9" w:rsidP="0064676D">
            <w:pPr>
              <w:rPr>
                <w:sz w:val="20"/>
              </w:rPr>
            </w:pPr>
          </w:p>
        </w:tc>
        <w:tc>
          <w:tcPr>
            <w:tcW w:w="2891" w:type="dxa"/>
          </w:tcPr>
          <w:p w14:paraId="35326D98" w14:textId="77777777" w:rsidR="00A354A9" w:rsidRPr="00A354A9" w:rsidRDefault="00A354A9" w:rsidP="0064676D">
            <w:pPr>
              <w:rPr>
                <w:sz w:val="20"/>
              </w:rPr>
            </w:pPr>
          </w:p>
        </w:tc>
        <w:tc>
          <w:tcPr>
            <w:tcW w:w="4785" w:type="dxa"/>
          </w:tcPr>
          <w:p w14:paraId="6AA32AB2" w14:textId="77777777" w:rsidR="00A354A9" w:rsidRPr="00A354A9" w:rsidRDefault="00A354A9" w:rsidP="0064676D">
            <w:pPr>
              <w:rPr>
                <w:sz w:val="20"/>
              </w:rPr>
            </w:pPr>
          </w:p>
        </w:tc>
      </w:tr>
      <w:tr w:rsidR="00A354A9" w:rsidRPr="00A354A9" w14:paraId="406A2512" w14:textId="77777777" w:rsidTr="00A354A9">
        <w:tc>
          <w:tcPr>
            <w:tcW w:w="687" w:type="dxa"/>
          </w:tcPr>
          <w:p w14:paraId="5FA86A10" w14:textId="77777777" w:rsidR="00A354A9" w:rsidRPr="00A354A9" w:rsidRDefault="00A354A9" w:rsidP="0064676D">
            <w:pPr>
              <w:rPr>
                <w:sz w:val="20"/>
              </w:rPr>
            </w:pPr>
          </w:p>
        </w:tc>
        <w:tc>
          <w:tcPr>
            <w:tcW w:w="2891" w:type="dxa"/>
          </w:tcPr>
          <w:p w14:paraId="5AF9DC53" w14:textId="77777777" w:rsidR="00A354A9" w:rsidRPr="00A354A9" w:rsidRDefault="00A354A9" w:rsidP="0064676D">
            <w:pPr>
              <w:rPr>
                <w:sz w:val="20"/>
              </w:rPr>
            </w:pPr>
            <w:r w:rsidRPr="00A354A9">
              <w:rPr>
                <w:sz w:val="20"/>
              </w:rPr>
              <w:t xml:space="preserve">1.2 Cognitive Activation </w:t>
            </w:r>
          </w:p>
        </w:tc>
        <w:tc>
          <w:tcPr>
            <w:tcW w:w="4785" w:type="dxa"/>
          </w:tcPr>
          <w:p w14:paraId="3E86474D" w14:textId="77777777" w:rsidR="00A354A9" w:rsidRPr="00A354A9" w:rsidRDefault="00A354A9" w:rsidP="0064676D">
            <w:pPr>
              <w:rPr>
                <w:sz w:val="20"/>
              </w:rPr>
            </w:pPr>
          </w:p>
        </w:tc>
      </w:tr>
      <w:tr w:rsidR="00A354A9" w:rsidRPr="00A354A9" w14:paraId="542CD88A" w14:textId="77777777" w:rsidTr="00A354A9">
        <w:tc>
          <w:tcPr>
            <w:tcW w:w="687" w:type="dxa"/>
          </w:tcPr>
          <w:p w14:paraId="431D040C" w14:textId="77777777" w:rsidR="00A354A9" w:rsidRPr="00A354A9" w:rsidRDefault="00A354A9" w:rsidP="0064676D">
            <w:pPr>
              <w:rPr>
                <w:sz w:val="20"/>
              </w:rPr>
            </w:pPr>
          </w:p>
        </w:tc>
        <w:tc>
          <w:tcPr>
            <w:tcW w:w="2891" w:type="dxa"/>
          </w:tcPr>
          <w:p w14:paraId="4B311866" w14:textId="77777777" w:rsidR="00A354A9" w:rsidRPr="00A354A9" w:rsidRDefault="00A354A9" w:rsidP="0064676D">
            <w:pPr>
              <w:rPr>
                <w:sz w:val="20"/>
              </w:rPr>
            </w:pPr>
            <w:r w:rsidRPr="00A354A9">
              <w:rPr>
                <w:sz w:val="20"/>
              </w:rPr>
              <w:t xml:space="preserve">      ST80Q01</w:t>
            </w:r>
          </w:p>
        </w:tc>
        <w:tc>
          <w:tcPr>
            <w:tcW w:w="4785" w:type="dxa"/>
          </w:tcPr>
          <w:p w14:paraId="3581EB4E" w14:textId="77777777" w:rsidR="00A354A9" w:rsidRPr="00A354A9" w:rsidRDefault="00A354A9" w:rsidP="0064676D">
            <w:pPr>
              <w:rPr>
                <w:sz w:val="20"/>
              </w:rPr>
            </w:pPr>
            <w:r w:rsidRPr="00A354A9">
              <w:rPr>
                <w:sz w:val="20"/>
              </w:rPr>
              <w:t>Teacher Encourages to Reflect Problems</w:t>
            </w:r>
          </w:p>
        </w:tc>
      </w:tr>
      <w:tr w:rsidR="00A354A9" w:rsidRPr="00A354A9" w14:paraId="1F750385" w14:textId="77777777" w:rsidTr="00A354A9">
        <w:tc>
          <w:tcPr>
            <w:tcW w:w="687" w:type="dxa"/>
          </w:tcPr>
          <w:p w14:paraId="577C11BB" w14:textId="77777777" w:rsidR="00A354A9" w:rsidRPr="00A354A9" w:rsidRDefault="00A354A9" w:rsidP="0064676D">
            <w:pPr>
              <w:rPr>
                <w:sz w:val="20"/>
              </w:rPr>
            </w:pPr>
          </w:p>
        </w:tc>
        <w:tc>
          <w:tcPr>
            <w:tcW w:w="2891" w:type="dxa"/>
          </w:tcPr>
          <w:p w14:paraId="4DC1067A" w14:textId="77777777" w:rsidR="00A354A9" w:rsidRPr="00A354A9" w:rsidRDefault="00A354A9" w:rsidP="0064676D">
            <w:pPr>
              <w:rPr>
                <w:sz w:val="20"/>
              </w:rPr>
            </w:pPr>
            <w:r w:rsidRPr="00A354A9">
              <w:rPr>
                <w:sz w:val="20"/>
              </w:rPr>
              <w:t xml:space="preserve">      ST80Q04</w:t>
            </w:r>
          </w:p>
        </w:tc>
        <w:tc>
          <w:tcPr>
            <w:tcW w:w="4785" w:type="dxa"/>
          </w:tcPr>
          <w:p w14:paraId="01226478" w14:textId="77777777" w:rsidR="00A354A9" w:rsidRPr="00A354A9" w:rsidRDefault="00A354A9" w:rsidP="0064676D">
            <w:pPr>
              <w:rPr>
                <w:sz w:val="20"/>
              </w:rPr>
            </w:pPr>
            <w:r w:rsidRPr="00A354A9">
              <w:rPr>
                <w:sz w:val="20"/>
              </w:rPr>
              <w:t>Gives Problems that Require to Think</w:t>
            </w:r>
          </w:p>
        </w:tc>
      </w:tr>
      <w:tr w:rsidR="00A354A9" w:rsidRPr="00A354A9" w14:paraId="455708C2" w14:textId="77777777" w:rsidTr="00A354A9">
        <w:tc>
          <w:tcPr>
            <w:tcW w:w="687" w:type="dxa"/>
          </w:tcPr>
          <w:p w14:paraId="6714DA6F" w14:textId="77777777" w:rsidR="00A354A9" w:rsidRPr="00A354A9" w:rsidRDefault="00A354A9" w:rsidP="0064676D">
            <w:pPr>
              <w:rPr>
                <w:sz w:val="20"/>
              </w:rPr>
            </w:pPr>
          </w:p>
        </w:tc>
        <w:tc>
          <w:tcPr>
            <w:tcW w:w="2891" w:type="dxa"/>
          </w:tcPr>
          <w:p w14:paraId="260CC6DB" w14:textId="77777777" w:rsidR="00A354A9" w:rsidRPr="00A354A9" w:rsidRDefault="00A354A9" w:rsidP="0064676D">
            <w:pPr>
              <w:rPr>
                <w:sz w:val="20"/>
              </w:rPr>
            </w:pPr>
            <w:r w:rsidRPr="00A354A9">
              <w:rPr>
                <w:sz w:val="20"/>
              </w:rPr>
              <w:t xml:space="preserve">      ST80Q05</w:t>
            </w:r>
          </w:p>
        </w:tc>
        <w:tc>
          <w:tcPr>
            <w:tcW w:w="4785" w:type="dxa"/>
          </w:tcPr>
          <w:p w14:paraId="5335785A" w14:textId="77777777" w:rsidR="00A354A9" w:rsidRPr="00A354A9" w:rsidRDefault="00A354A9" w:rsidP="0064676D">
            <w:pPr>
              <w:rPr>
                <w:sz w:val="20"/>
              </w:rPr>
            </w:pPr>
            <w:r w:rsidRPr="00A354A9">
              <w:rPr>
                <w:sz w:val="20"/>
              </w:rPr>
              <w:t>Asks to Use Own Procedures</w:t>
            </w:r>
          </w:p>
        </w:tc>
      </w:tr>
      <w:tr w:rsidR="00A354A9" w:rsidRPr="00A354A9" w14:paraId="33CC9EB2" w14:textId="77777777" w:rsidTr="00A354A9">
        <w:tc>
          <w:tcPr>
            <w:tcW w:w="687" w:type="dxa"/>
          </w:tcPr>
          <w:p w14:paraId="36F7E22E" w14:textId="77777777" w:rsidR="00A354A9" w:rsidRPr="00A354A9" w:rsidRDefault="00A354A9" w:rsidP="0064676D">
            <w:pPr>
              <w:rPr>
                <w:sz w:val="20"/>
              </w:rPr>
            </w:pPr>
          </w:p>
        </w:tc>
        <w:tc>
          <w:tcPr>
            <w:tcW w:w="2891" w:type="dxa"/>
          </w:tcPr>
          <w:p w14:paraId="5EACC12C" w14:textId="77777777" w:rsidR="00A354A9" w:rsidRPr="00A354A9" w:rsidRDefault="00A354A9" w:rsidP="0064676D">
            <w:pPr>
              <w:rPr>
                <w:sz w:val="20"/>
              </w:rPr>
            </w:pPr>
            <w:r w:rsidRPr="00A354A9">
              <w:rPr>
                <w:sz w:val="20"/>
              </w:rPr>
              <w:t xml:space="preserve">      ST80Q06</w:t>
            </w:r>
          </w:p>
        </w:tc>
        <w:tc>
          <w:tcPr>
            <w:tcW w:w="4785" w:type="dxa"/>
          </w:tcPr>
          <w:p w14:paraId="247B933F" w14:textId="77777777" w:rsidR="00A354A9" w:rsidRPr="00A354A9" w:rsidRDefault="00A354A9" w:rsidP="0064676D">
            <w:pPr>
              <w:rPr>
                <w:sz w:val="20"/>
              </w:rPr>
            </w:pPr>
            <w:r w:rsidRPr="00A354A9">
              <w:rPr>
                <w:sz w:val="20"/>
              </w:rPr>
              <w:t>Presents Problems with No Obvious Solutions</w:t>
            </w:r>
          </w:p>
        </w:tc>
      </w:tr>
      <w:tr w:rsidR="00A354A9" w:rsidRPr="00A354A9" w14:paraId="369D8DFA" w14:textId="77777777" w:rsidTr="00A354A9">
        <w:tc>
          <w:tcPr>
            <w:tcW w:w="687" w:type="dxa"/>
          </w:tcPr>
          <w:p w14:paraId="4BF0DF17" w14:textId="77777777" w:rsidR="00A354A9" w:rsidRPr="00A354A9" w:rsidRDefault="00A354A9" w:rsidP="0064676D">
            <w:pPr>
              <w:rPr>
                <w:sz w:val="20"/>
              </w:rPr>
            </w:pPr>
          </w:p>
        </w:tc>
        <w:tc>
          <w:tcPr>
            <w:tcW w:w="2891" w:type="dxa"/>
          </w:tcPr>
          <w:p w14:paraId="72AB59AF" w14:textId="77777777" w:rsidR="00A354A9" w:rsidRPr="00A354A9" w:rsidRDefault="00A354A9" w:rsidP="0064676D">
            <w:pPr>
              <w:rPr>
                <w:sz w:val="20"/>
              </w:rPr>
            </w:pPr>
            <w:r w:rsidRPr="00A354A9">
              <w:rPr>
                <w:sz w:val="20"/>
              </w:rPr>
              <w:t xml:space="preserve">      ST80Q07</w:t>
            </w:r>
          </w:p>
        </w:tc>
        <w:tc>
          <w:tcPr>
            <w:tcW w:w="4785" w:type="dxa"/>
          </w:tcPr>
          <w:p w14:paraId="329C70BB" w14:textId="77777777" w:rsidR="00A354A9" w:rsidRPr="00A354A9" w:rsidRDefault="00A354A9" w:rsidP="0064676D">
            <w:pPr>
              <w:rPr>
                <w:sz w:val="20"/>
              </w:rPr>
            </w:pPr>
            <w:r w:rsidRPr="00A354A9">
              <w:rPr>
                <w:sz w:val="20"/>
              </w:rPr>
              <w:t>Presents Problems in Different Contexts</w:t>
            </w:r>
          </w:p>
        </w:tc>
      </w:tr>
      <w:tr w:rsidR="00A354A9" w:rsidRPr="00A354A9" w14:paraId="687B287D" w14:textId="77777777" w:rsidTr="00A354A9">
        <w:tc>
          <w:tcPr>
            <w:tcW w:w="687" w:type="dxa"/>
          </w:tcPr>
          <w:p w14:paraId="555C73B4" w14:textId="77777777" w:rsidR="00A354A9" w:rsidRPr="00A354A9" w:rsidRDefault="00A354A9" w:rsidP="0064676D">
            <w:pPr>
              <w:rPr>
                <w:sz w:val="20"/>
              </w:rPr>
            </w:pPr>
          </w:p>
        </w:tc>
        <w:tc>
          <w:tcPr>
            <w:tcW w:w="2891" w:type="dxa"/>
          </w:tcPr>
          <w:p w14:paraId="56CFAFF5" w14:textId="77777777" w:rsidR="00A354A9" w:rsidRPr="00A354A9" w:rsidRDefault="00A354A9" w:rsidP="0064676D">
            <w:pPr>
              <w:rPr>
                <w:sz w:val="20"/>
              </w:rPr>
            </w:pPr>
            <w:r w:rsidRPr="00A354A9">
              <w:rPr>
                <w:sz w:val="20"/>
              </w:rPr>
              <w:t xml:space="preserve">      ST80Q08</w:t>
            </w:r>
          </w:p>
        </w:tc>
        <w:tc>
          <w:tcPr>
            <w:tcW w:w="4785" w:type="dxa"/>
          </w:tcPr>
          <w:p w14:paraId="789E3599" w14:textId="77777777" w:rsidR="00A354A9" w:rsidRPr="00A354A9" w:rsidRDefault="00A354A9" w:rsidP="0064676D">
            <w:pPr>
              <w:rPr>
                <w:sz w:val="20"/>
              </w:rPr>
            </w:pPr>
            <w:r w:rsidRPr="00A354A9">
              <w:rPr>
                <w:sz w:val="20"/>
              </w:rPr>
              <w:t>Helps Learn from Mistakes</w:t>
            </w:r>
          </w:p>
        </w:tc>
      </w:tr>
      <w:tr w:rsidR="00A354A9" w:rsidRPr="00A354A9" w14:paraId="68DE0513" w14:textId="77777777" w:rsidTr="00A354A9">
        <w:tc>
          <w:tcPr>
            <w:tcW w:w="687" w:type="dxa"/>
          </w:tcPr>
          <w:p w14:paraId="57CD31A1" w14:textId="77777777" w:rsidR="00A354A9" w:rsidRPr="00A354A9" w:rsidRDefault="00A354A9" w:rsidP="0064676D">
            <w:pPr>
              <w:rPr>
                <w:sz w:val="20"/>
              </w:rPr>
            </w:pPr>
          </w:p>
        </w:tc>
        <w:tc>
          <w:tcPr>
            <w:tcW w:w="2891" w:type="dxa"/>
          </w:tcPr>
          <w:p w14:paraId="75F5CEBE" w14:textId="77777777" w:rsidR="00A354A9" w:rsidRPr="00A354A9" w:rsidRDefault="00A354A9" w:rsidP="0064676D">
            <w:pPr>
              <w:rPr>
                <w:sz w:val="20"/>
              </w:rPr>
            </w:pPr>
            <w:r w:rsidRPr="00A354A9">
              <w:rPr>
                <w:sz w:val="20"/>
              </w:rPr>
              <w:t xml:space="preserve">      ST80Q09</w:t>
            </w:r>
          </w:p>
        </w:tc>
        <w:tc>
          <w:tcPr>
            <w:tcW w:w="4785" w:type="dxa"/>
          </w:tcPr>
          <w:p w14:paraId="72094662" w14:textId="77777777" w:rsidR="00A354A9" w:rsidRPr="00A354A9" w:rsidRDefault="00A354A9" w:rsidP="0064676D">
            <w:pPr>
              <w:rPr>
                <w:sz w:val="20"/>
              </w:rPr>
            </w:pPr>
            <w:r w:rsidRPr="00A354A9">
              <w:rPr>
                <w:sz w:val="20"/>
              </w:rPr>
              <w:t>Asks for Explanations</w:t>
            </w:r>
          </w:p>
        </w:tc>
      </w:tr>
      <w:tr w:rsidR="00A354A9" w:rsidRPr="00A354A9" w14:paraId="045F3651" w14:textId="77777777" w:rsidTr="00A354A9">
        <w:tc>
          <w:tcPr>
            <w:tcW w:w="687" w:type="dxa"/>
          </w:tcPr>
          <w:p w14:paraId="2875A443" w14:textId="77777777" w:rsidR="00A354A9" w:rsidRPr="00A354A9" w:rsidRDefault="00A354A9" w:rsidP="0064676D">
            <w:pPr>
              <w:rPr>
                <w:sz w:val="20"/>
              </w:rPr>
            </w:pPr>
          </w:p>
        </w:tc>
        <w:tc>
          <w:tcPr>
            <w:tcW w:w="2891" w:type="dxa"/>
          </w:tcPr>
          <w:p w14:paraId="442B6991" w14:textId="77777777" w:rsidR="00A354A9" w:rsidRPr="00A354A9" w:rsidRDefault="00A354A9" w:rsidP="0064676D">
            <w:pPr>
              <w:rPr>
                <w:sz w:val="20"/>
              </w:rPr>
            </w:pPr>
            <w:r w:rsidRPr="00A354A9">
              <w:rPr>
                <w:sz w:val="20"/>
              </w:rPr>
              <w:t xml:space="preserve">      ST80Q10</w:t>
            </w:r>
          </w:p>
        </w:tc>
        <w:tc>
          <w:tcPr>
            <w:tcW w:w="4785" w:type="dxa"/>
          </w:tcPr>
          <w:p w14:paraId="507DC79A" w14:textId="77777777" w:rsidR="00A354A9" w:rsidRPr="00A354A9" w:rsidRDefault="00A354A9" w:rsidP="0064676D">
            <w:pPr>
              <w:rPr>
                <w:sz w:val="20"/>
              </w:rPr>
            </w:pPr>
            <w:r w:rsidRPr="00A354A9">
              <w:rPr>
                <w:sz w:val="20"/>
              </w:rPr>
              <w:t>Apply What We Learned</w:t>
            </w:r>
          </w:p>
        </w:tc>
      </w:tr>
      <w:tr w:rsidR="00A354A9" w:rsidRPr="00A354A9" w14:paraId="7CCEC69D" w14:textId="77777777" w:rsidTr="00A354A9">
        <w:tc>
          <w:tcPr>
            <w:tcW w:w="687" w:type="dxa"/>
          </w:tcPr>
          <w:p w14:paraId="53B36CF5" w14:textId="77777777" w:rsidR="00A354A9" w:rsidRPr="00A354A9" w:rsidRDefault="00A354A9" w:rsidP="0064676D">
            <w:pPr>
              <w:rPr>
                <w:sz w:val="20"/>
              </w:rPr>
            </w:pPr>
          </w:p>
        </w:tc>
        <w:tc>
          <w:tcPr>
            <w:tcW w:w="2891" w:type="dxa"/>
          </w:tcPr>
          <w:p w14:paraId="2567E14D" w14:textId="77777777" w:rsidR="00A354A9" w:rsidRPr="00A354A9" w:rsidRDefault="00A354A9" w:rsidP="0064676D">
            <w:pPr>
              <w:rPr>
                <w:sz w:val="20"/>
              </w:rPr>
            </w:pPr>
            <w:r w:rsidRPr="00A354A9">
              <w:rPr>
                <w:sz w:val="20"/>
              </w:rPr>
              <w:t xml:space="preserve">      ST80Q11</w:t>
            </w:r>
          </w:p>
        </w:tc>
        <w:tc>
          <w:tcPr>
            <w:tcW w:w="4785" w:type="dxa"/>
          </w:tcPr>
          <w:p w14:paraId="1D3B08D6" w14:textId="77777777" w:rsidR="00A354A9" w:rsidRPr="00A354A9" w:rsidRDefault="00A354A9" w:rsidP="0064676D">
            <w:pPr>
              <w:rPr>
                <w:sz w:val="20"/>
              </w:rPr>
            </w:pPr>
            <w:r w:rsidRPr="00A354A9">
              <w:rPr>
                <w:sz w:val="20"/>
              </w:rPr>
              <w:t>Problems with Multiple Solutions</w:t>
            </w:r>
          </w:p>
        </w:tc>
      </w:tr>
      <w:tr w:rsidR="00A354A9" w:rsidRPr="00A354A9" w14:paraId="6504DD65" w14:textId="77777777" w:rsidTr="00A354A9">
        <w:tc>
          <w:tcPr>
            <w:tcW w:w="687" w:type="dxa"/>
          </w:tcPr>
          <w:p w14:paraId="23A6832D" w14:textId="77777777" w:rsidR="00A354A9" w:rsidRPr="00A354A9" w:rsidRDefault="00A354A9" w:rsidP="0064676D">
            <w:pPr>
              <w:rPr>
                <w:sz w:val="20"/>
              </w:rPr>
            </w:pPr>
          </w:p>
        </w:tc>
        <w:tc>
          <w:tcPr>
            <w:tcW w:w="2891" w:type="dxa"/>
          </w:tcPr>
          <w:p w14:paraId="46031EDA" w14:textId="77777777" w:rsidR="00A354A9" w:rsidRPr="00A354A9" w:rsidRDefault="00A354A9" w:rsidP="0064676D">
            <w:pPr>
              <w:rPr>
                <w:sz w:val="20"/>
              </w:rPr>
            </w:pPr>
          </w:p>
        </w:tc>
        <w:tc>
          <w:tcPr>
            <w:tcW w:w="4785" w:type="dxa"/>
          </w:tcPr>
          <w:p w14:paraId="00C3724E" w14:textId="77777777" w:rsidR="00A354A9" w:rsidRPr="00A354A9" w:rsidRDefault="00A354A9" w:rsidP="0064676D">
            <w:pPr>
              <w:rPr>
                <w:sz w:val="20"/>
              </w:rPr>
            </w:pPr>
          </w:p>
        </w:tc>
      </w:tr>
      <w:tr w:rsidR="00A354A9" w:rsidRPr="00A354A9" w14:paraId="74D34B88" w14:textId="77777777" w:rsidTr="00A354A9">
        <w:tc>
          <w:tcPr>
            <w:tcW w:w="687" w:type="dxa"/>
          </w:tcPr>
          <w:p w14:paraId="06AE5B57" w14:textId="77777777" w:rsidR="00A354A9" w:rsidRPr="00A354A9" w:rsidRDefault="00A354A9" w:rsidP="0064676D">
            <w:pPr>
              <w:rPr>
                <w:sz w:val="20"/>
              </w:rPr>
            </w:pPr>
            <w:r w:rsidRPr="00A354A9">
              <w:rPr>
                <w:sz w:val="20"/>
              </w:rPr>
              <w:t>2.</w:t>
            </w:r>
          </w:p>
        </w:tc>
        <w:tc>
          <w:tcPr>
            <w:tcW w:w="2891" w:type="dxa"/>
          </w:tcPr>
          <w:p w14:paraId="69F2C9E8" w14:textId="77777777" w:rsidR="00A354A9" w:rsidRPr="00A354A9" w:rsidRDefault="00A354A9" w:rsidP="0064676D">
            <w:pPr>
              <w:rPr>
                <w:sz w:val="20"/>
              </w:rPr>
            </w:pPr>
            <w:r w:rsidRPr="00A354A9">
              <w:rPr>
                <w:sz w:val="20"/>
              </w:rPr>
              <w:t>School Type</w:t>
            </w:r>
          </w:p>
        </w:tc>
        <w:tc>
          <w:tcPr>
            <w:tcW w:w="4785" w:type="dxa"/>
          </w:tcPr>
          <w:p w14:paraId="2238B70E" w14:textId="77777777" w:rsidR="00A354A9" w:rsidRPr="00A354A9" w:rsidRDefault="00A354A9" w:rsidP="0064676D">
            <w:pPr>
              <w:rPr>
                <w:sz w:val="20"/>
              </w:rPr>
            </w:pPr>
          </w:p>
        </w:tc>
      </w:tr>
      <w:tr w:rsidR="00A354A9" w:rsidRPr="00A354A9" w14:paraId="0A2FABB6" w14:textId="77777777" w:rsidTr="00A354A9">
        <w:tc>
          <w:tcPr>
            <w:tcW w:w="687" w:type="dxa"/>
          </w:tcPr>
          <w:p w14:paraId="69058A21" w14:textId="77777777" w:rsidR="00A354A9" w:rsidRPr="00A354A9" w:rsidRDefault="00A354A9" w:rsidP="0064676D">
            <w:pPr>
              <w:rPr>
                <w:sz w:val="20"/>
              </w:rPr>
            </w:pPr>
          </w:p>
        </w:tc>
        <w:tc>
          <w:tcPr>
            <w:tcW w:w="2891" w:type="dxa"/>
          </w:tcPr>
          <w:p w14:paraId="1490F938" w14:textId="77777777" w:rsidR="00A354A9" w:rsidRPr="00A354A9" w:rsidRDefault="00A354A9" w:rsidP="0064676D">
            <w:pPr>
              <w:rPr>
                <w:sz w:val="20"/>
              </w:rPr>
            </w:pPr>
            <w:r w:rsidRPr="00A354A9">
              <w:rPr>
                <w:sz w:val="20"/>
              </w:rPr>
              <w:t xml:space="preserve">   School Type [ SC01Q</w:t>
            </w:r>
            <w:proofErr w:type="gramStart"/>
            <w:r w:rsidRPr="00A354A9">
              <w:rPr>
                <w:sz w:val="20"/>
              </w:rPr>
              <w:t>01]*</w:t>
            </w:r>
            <w:proofErr w:type="gramEnd"/>
          </w:p>
        </w:tc>
        <w:tc>
          <w:tcPr>
            <w:tcW w:w="4785" w:type="dxa"/>
          </w:tcPr>
          <w:p w14:paraId="18B59C08" w14:textId="77777777" w:rsidR="00A354A9" w:rsidRPr="00A354A9" w:rsidRDefault="00A354A9" w:rsidP="0064676D">
            <w:pPr>
              <w:rPr>
                <w:sz w:val="20"/>
              </w:rPr>
            </w:pPr>
            <w:r w:rsidRPr="00A354A9">
              <w:rPr>
                <w:sz w:val="20"/>
              </w:rPr>
              <w:t>The type of the schools [*Public = 0, Private = 1]</w:t>
            </w:r>
          </w:p>
        </w:tc>
      </w:tr>
      <w:tr w:rsidR="00A354A9" w:rsidRPr="00A354A9" w14:paraId="02AC996E" w14:textId="77777777" w:rsidTr="00A354A9">
        <w:tc>
          <w:tcPr>
            <w:tcW w:w="687" w:type="dxa"/>
          </w:tcPr>
          <w:p w14:paraId="61DB1F8F" w14:textId="77777777" w:rsidR="00A354A9" w:rsidRPr="00A354A9" w:rsidRDefault="00A354A9" w:rsidP="0064676D">
            <w:pPr>
              <w:rPr>
                <w:sz w:val="20"/>
              </w:rPr>
            </w:pPr>
          </w:p>
        </w:tc>
        <w:tc>
          <w:tcPr>
            <w:tcW w:w="2891" w:type="dxa"/>
          </w:tcPr>
          <w:p w14:paraId="2E56A4DD" w14:textId="77777777" w:rsidR="00A354A9" w:rsidRPr="00A354A9" w:rsidRDefault="00A354A9" w:rsidP="0064676D">
            <w:pPr>
              <w:rPr>
                <w:sz w:val="20"/>
              </w:rPr>
            </w:pPr>
          </w:p>
        </w:tc>
        <w:tc>
          <w:tcPr>
            <w:tcW w:w="4785" w:type="dxa"/>
          </w:tcPr>
          <w:p w14:paraId="4CFF8C0C" w14:textId="77777777" w:rsidR="00A354A9" w:rsidRPr="00A354A9" w:rsidRDefault="00A354A9" w:rsidP="0064676D">
            <w:pPr>
              <w:rPr>
                <w:sz w:val="20"/>
              </w:rPr>
            </w:pPr>
          </w:p>
        </w:tc>
      </w:tr>
      <w:tr w:rsidR="00A354A9" w:rsidRPr="00A354A9" w14:paraId="77B7A806" w14:textId="77777777" w:rsidTr="00A354A9">
        <w:tc>
          <w:tcPr>
            <w:tcW w:w="8363" w:type="dxa"/>
            <w:gridSpan w:val="3"/>
          </w:tcPr>
          <w:p w14:paraId="3286C81C" w14:textId="77777777" w:rsidR="00A354A9" w:rsidRPr="00A354A9" w:rsidRDefault="00A354A9" w:rsidP="0064676D">
            <w:pPr>
              <w:rPr>
                <w:b/>
                <w:bCs/>
                <w:i/>
                <w:iCs/>
                <w:sz w:val="20"/>
              </w:rPr>
            </w:pPr>
            <w:r w:rsidRPr="00A354A9">
              <w:rPr>
                <w:b/>
                <w:bCs/>
                <w:i/>
                <w:iCs/>
                <w:sz w:val="20"/>
              </w:rPr>
              <w:t xml:space="preserve">Dependent Variables </w:t>
            </w:r>
          </w:p>
        </w:tc>
      </w:tr>
      <w:tr w:rsidR="00A354A9" w:rsidRPr="00A354A9" w14:paraId="4EDF773F" w14:textId="77777777" w:rsidTr="00A354A9">
        <w:tc>
          <w:tcPr>
            <w:tcW w:w="687" w:type="dxa"/>
          </w:tcPr>
          <w:p w14:paraId="5BB5D475" w14:textId="77777777" w:rsidR="00A354A9" w:rsidRPr="00A354A9" w:rsidRDefault="00A354A9" w:rsidP="0064676D">
            <w:pPr>
              <w:rPr>
                <w:sz w:val="20"/>
              </w:rPr>
            </w:pPr>
            <w:r w:rsidRPr="00A354A9">
              <w:rPr>
                <w:sz w:val="20"/>
              </w:rPr>
              <w:t>1</w:t>
            </w:r>
          </w:p>
        </w:tc>
        <w:tc>
          <w:tcPr>
            <w:tcW w:w="2891" w:type="dxa"/>
          </w:tcPr>
          <w:p w14:paraId="69A46418" w14:textId="77777777" w:rsidR="00A354A9" w:rsidRPr="00A354A9" w:rsidRDefault="00A354A9" w:rsidP="0064676D">
            <w:pPr>
              <w:rPr>
                <w:sz w:val="20"/>
              </w:rPr>
            </w:pPr>
            <w:r w:rsidRPr="00A354A9">
              <w:rPr>
                <w:sz w:val="20"/>
              </w:rPr>
              <w:t>Employ</w:t>
            </w:r>
          </w:p>
        </w:tc>
        <w:tc>
          <w:tcPr>
            <w:tcW w:w="4785" w:type="dxa"/>
          </w:tcPr>
          <w:p w14:paraId="62A0D385" w14:textId="77777777" w:rsidR="00A354A9" w:rsidRPr="00A354A9" w:rsidRDefault="00A354A9" w:rsidP="0064676D">
            <w:pPr>
              <w:rPr>
                <w:sz w:val="20"/>
              </w:rPr>
            </w:pPr>
          </w:p>
        </w:tc>
      </w:tr>
      <w:tr w:rsidR="00A354A9" w:rsidRPr="00A354A9" w14:paraId="6F54E226" w14:textId="77777777" w:rsidTr="00A354A9">
        <w:tc>
          <w:tcPr>
            <w:tcW w:w="687" w:type="dxa"/>
          </w:tcPr>
          <w:p w14:paraId="6DEE953C" w14:textId="77777777" w:rsidR="00A354A9" w:rsidRPr="00A354A9" w:rsidRDefault="00A354A9" w:rsidP="0064676D">
            <w:pPr>
              <w:rPr>
                <w:sz w:val="20"/>
              </w:rPr>
            </w:pPr>
          </w:p>
        </w:tc>
        <w:tc>
          <w:tcPr>
            <w:tcW w:w="2891" w:type="dxa"/>
          </w:tcPr>
          <w:p w14:paraId="74E00778" w14:textId="77777777" w:rsidR="00A354A9" w:rsidRPr="00A354A9" w:rsidRDefault="00A354A9" w:rsidP="0064676D">
            <w:pPr>
              <w:rPr>
                <w:sz w:val="20"/>
              </w:rPr>
            </w:pPr>
            <w:r w:rsidRPr="00A354A9">
              <w:rPr>
                <w:sz w:val="20"/>
              </w:rPr>
              <w:t xml:space="preserve">   PV1MAPE</w:t>
            </w:r>
          </w:p>
        </w:tc>
        <w:tc>
          <w:tcPr>
            <w:tcW w:w="4785" w:type="dxa"/>
          </w:tcPr>
          <w:p w14:paraId="518B7D5B" w14:textId="77777777" w:rsidR="00A354A9" w:rsidRPr="00A354A9" w:rsidRDefault="00A354A9" w:rsidP="0064676D">
            <w:pPr>
              <w:rPr>
                <w:sz w:val="20"/>
              </w:rPr>
            </w:pPr>
            <w:r w:rsidRPr="00A354A9">
              <w:rPr>
                <w:sz w:val="20"/>
              </w:rPr>
              <w:t xml:space="preserve">Plausible Value 1 – Employ </w:t>
            </w:r>
          </w:p>
        </w:tc>
      </w:tr>
      <w:tr w:rsidR="00A354A9" w:rsidRPr="00A354A9" w14:paraId="21797906" w14:textId="77777777" w:rsidTr="00A354A9">
        <w:tc>
          <w:tcPr>
            <w:tcW w:w="687" w:type="dxa"/>
          </w:tcPr>
          <w:p w14:paraId="2674C0B2" w14:textId="77777777" w:rsidR="00A354A9" w:rsidRPr="00A354A9" w:rsidRDefault="00A354A9" w:rsidP="0064676D">
            <w:pPr>
              <w:rPr>
                <w:sz w:val="20"/>
              </w:rPr>
            </w:pPr>
          </w:p>
        </w:tc>
        <w:tc>
          <w:tcPr>
            <w:tcW w:w="2891" w:type="dxa"/>
          </w:tcPr>
          <w:p w14:paraId="68112DED" w14:textId="77777777" w:rsidR="00A354A9" w:rsidRPr="00A354A9" w:rsidRDefault="00A354A9" w:rsidP="0064676D">
            <w:pPr>
              <w:rPr>
                <w:sz w:val="20"/>
              </w:rPr>
            </w:pPr>
            <w:r w:rsidRPr="00A354A9">
              <w:rPr>
                <w:sz w:val="20"/>
              </w:rPr>
              <w:t xml:space="preserve">   PV2MAPE </w:t>
            </w:r>
          </w:p>
        </w:tc>
        <w:tc>
          <w:tcPr>
            <w:tcW w:w="4785" w:type="dxa"/>
          </w:tcPr>
          <w:p w14:paraId="761BBEF3" w14:textId="77777777" w:rsidR="00A354A9" w:rsidRPr="00A354A9" w:rsidRDefault="00A354A9" w:rsidP="0064676D">
            <w:pPr>
              <w:rPr>
                <w:sz w:val="20"/>
              </w:rPr>
            </w:pPr>
            <w:r w:rsidRPr="00A354A9">
              <w:rPr>
                <w:sz w:val="20"/>
              </w:rPr>
              <w:t xml:space="preserve">Plausible Value 2 – Employ </w:t>
            </w:r>
          </w:p>
        </w:tc>
      </w:tr>
      <w:tr w:rsidR="00A354A9" w:rsidRPr="00A354A9" w14:paraId="1C86D863" w14:textId="77777777" w:rsidTr="00A354A9">
        <w:tc>
          <w:tcPr>
            <w:tcW w:w="687" w:type="dxa"/>
          </w:tcPr>
          <w:p w14:paraId="4C24A1B0" w14:textId="77777777" w:rsidR="00A354A9" w:rsidRPr="00A354A9" w:rsidRDefault="00A354A9" w:rsidP="0064676D">
            <w:pPr>
              <w:rPr>
                <w:sz w:val="20"/>
              </w:rPr>
            </w:pPr>
          </w:p>
        </w:tc>
        <w:tc>
          <w:tcPr>
            <w:tcW w:w="2891" w:type="dxa"/>
          </w:tcPr>
          <w:p w14:paraId="345BB3DB" w14:textId="77777777" w:rsidR="00A354A9" w:rsidRPr="00A354A9" w:rsidRDefault="00A354A9" w:rsidP="0064676D">
            <w:pPr>
              <w:rPr>
                <w:sz w:val="20"/>
              </w:rPr>
            </w:pPr>
            <w:r w:rsidRPr="00A354A9">
              <w:rPr>
                <w:sz w:val="20"/>
              </w:rPr>
              <w:t xml:space="preserve">   PV3MAPE</w:t>
            </w:r>
          </w:p>
        </w:tc>
        <w:tc>
          <w:tcPr>
            <w:tcW w:w="4785" w:type="dxa"/>
          </w:tcPr>
          <w:p w14:paraId="3D0FA702" w14:textId="77777777" w:rsidR="00A354A9" w:rsidRPr="00A354A9" w:rsidRDefault="00A354A9" w:rsidP="0064676D">
            <w:pPr>
              <w:rPr>
                <w:sz w:val="20"/>
              </w:rPr>
            </w:pPr>
            <w:r w:rsidRPr="00A354A9">
              <w:rPr>
                <w:sz w:val="20"/>
              </w:rPr>
              <w:t xml:space="preserve">Plausible Value 3 – Employ </w:t>
            </w:r>
          </w:p>
        </w:tc>
      </w:tr>
      <w:tr w:rsidR="00A354A9" w:rsidRPr="00A354A9" w14:paraId="16834BA8" w14:textId="77777777" w:rsidTr="00A354A9">
        <w:tc>
          <w:tcPr>
            <w:tcW w:w="687" w:type="dxa"/>
          </w:tcPr>
          <w:p w14:paraId="7C280D93" w14:textId="77777777" w:rsidR="00A354A9" w:rsidRPr="00A354A9" w:rsidRDefault="00A354A9" w:rsidP="0064676D">
            <w:pPr>
              <w:rPr>
                <w:sz w:val="20"/>
              </w:rPr>
            </w:pPr>
          </w:p>
        </w:tc>
        <w:tc>
          <w:tcPr>
            <w:tcW w:w="2891" w:type="dxa"/>
          </w:tcPr>
          <w:p w14:paraId="279DC8C6" w14:textId="77777777" w:rsidR="00A354A9" w:rsidRPr="00A354A9" w:rsidRDefault="00A354A9" w:rsidP="0064676D">
            <w:pPr>
              <w:rPr>
                <w:sz w:val="20"/>
              </w:rPr>
            </w:pPr>
            <w:r w:rsidRPr="00A354A9">
              <w:rPr>
                <w:sz w:val="20"/>
              </w:rPr>
              <w:t xml:space="preserve">   PV4MAPE </w:t>
            </w:r>
          </w:p>
        </w:tc>
        <w:tc>
          <w:tcPr>
            <w:tcW w:w="4785" w:type="dxa"/>
          </w:tcPr>
          <w:p w14:paraId="6B2C1DE2" w14:textId="77777777" w:rsidR="00A354A9" w:rsidRPr="00A354A9" w:rsidRDefault="00A354A9" w:rsidP="0064676D">
            <w:pPr>
              <w:rPr>
                <w:sz w:val="20"/>
              </w:rPr>
            </w:pPr>
            <w:r w:rsidRPr="00A354A9">
              <w:rPr>
                <w:sz w:val="20"/>
              </w:rPr>
              <w:t xml:space="preserve">Plausible Value 4 – Employ </w:t>
            </w:r>
          </w:p>
        </w:tc>
      </w:tr>
      <w:tr w:rsidR="00A354A9" w:rsidRPr="00A354A9" w14:paraId="39AE38A0" w14:textId="77777777" w:rsidTr="00A354A9">
        <w:tc>
          <w:tcPr>
            <w:tcW w:w="687" w:type="dxa"/>
          </w:tcPr>
          <w:p w14:paraId="45FA3CE1" w14:textId="77777777" w:rsidR="00A354A9" w:rsidRPr="00A354A9" w:rsidRDefault="00A354A9" w:rsidP="0064676D">
            <w:pPr>
              <w:rPr>
                <w:sz w:val="20"/>
              </w:rPr>
            </w:pPr>
          </w:p>
        </w:tc>
        <w:tc>
          <w:tcPr>
            <w:tcW w:w="2891" w:type="dxa"/>
          </w:tcPr>
          <w:p w14:paraId="2BFE5D34" w14:textId="77777777" w:rsidR="00A354A9" w:rsidRPr="00A354A9" w:rsidRDefault="00A354A9" w:rsidP="0064676D">
            <w:pPr>
              <w:rPr>
                <w:sz w:val="20"/>
              </w:rPr>
            </w:pPr>
            <w:r w:rsidRPr="00A354A9">
              <w:rPr>
                <w:sz w:val="20"/>
              </w:rPr>
              <w:t xml:space="preserve">   PV5MAPE</w:t>
            </w:r>
          </w:p>
        </w:tc>
        <w:tc>
          <w:tcPr>
            <w:tcW w:w="4785" w:type="dxa"/>
          </w:tcPr>
          <w:p w14:paraId="584A6915" w14:textId="77777777" w:rsidR="00A354A9" w:rsidRPr="00A354A9" w:rsidRDefault="00A354A9" w:rsidP="0064676D">
            <w:pPr>
              <w:rPr>
                <w:sz w:val="20"/>
              </w:rPr>
            </w:pPr>
            <w:r w:rsidRPr="00A354A9">
              <w:rPr>
                <w:sz w:val="20"/>
              </w:rPr>
              <w:t xml:space="preserve">Plausible Value 5 – Employ </w:t>
            </w:r>
          </w:p>
        </w:tc>
      </w:tr>
      <w:tr w:rsidR="00A354A9" w:rsidRPr="00A354A9" w14:paraId="4A346AAB" w14:textId="77777777" w:rsidTr="00A354A9">
        <w:tc>
          <w:tcPr>
            <w:tcW w:w="687" w:type="dxa"/>
          </w:tcPr>
          <w:p w14:paraId="6BBF1E79" w14:textId="77777777" w:rsidR="00A354A9" w:rsidRPr="00A354A9" w:rsidRDefault="00A354A9" w:rsidP="0064676D">
            <w:pPr>
              <w:rPr>
                <w:sz w:val="20"/>
              </w:rPr>
            </w:pPr>
            <w:r w:rsidRPr="00A354A9">
              <w:rPr>
                <w:sz w:val="20"/>
              </w:rPr>
              <w:t xml:space="preserve">2 </w:t>
            </w:r>
          </w:p>
        </w:tc>
        <w:tc>
          <w:tcPr>
            <w:tcW w:w="2891" w:type="dxa"/>
          </w:tcPr>
          <w:p w14:paraId="1E010BAF" w14:textId="77777777" w:rsidR="00A354A9" w:rsidRPr="00A354A9" w:rsidRDefault="00A354A9" w:rsidP="0064676D">
            <w:pPr>
              <w:rPr>
                <w:sz w:val="20"/>
              </w:rPr>
            </w:pPr>
            <w:r w:rsidRPr="00A354A9">
              <w:rPr>
                <w:sz w:val="20"/>
              </w:rPr>
              <w:t>Formulate</w:t>
            </w:r>
          </w:p>
        </w:tc>
        <w:tc>
          <w:tcPr>
            <w:tcW w:w="4785" w:type="dxa"/>
          </w:tcPr>
          <w:p w14:paraId="2929F8A4" w14:textId="77777777" w:rsidR="00A354A9" w:rsidRPr="00A354A9" w:rsidRDefault="00A354A9" w:rsidP="0064676D">
            <w:pPr>
              <w:rPr>
                <w:sz w:val="20"/>
              </w:rPr>
            </w:pPr>
          </w:p>
        </w:tc>
      </w:tr>
      <w:tr w:rsidR="00A354A9" w:rsidRPr="00A354A9" w14:paraId="0376F153" w14:textId="77777777" w:rsidTr="00A354A9">
        <w:tc>
          <w:tcPr>
            <w:tcW w:w="687" w:type="dxa"/>
          </w:tcPr>
          <w:p w14:paraId="57ECF9B6" w14:textId="77777777" w:rsidR="00A354A9" w:rsidRPr="00A354A9" w:rsidRDefault="00A354A9" w:rsidP="0064676D">
            <w:pPr>
              <w:rPr>
                <w:sz w:val="20"/>
              </w:rPr>
            </w:pPr>
          </w:p>
        </w:tc>
        <w:tc>
          <w:tcPr>
            <w:tcW w:w="2891" w:type="dxa"/>
          </w:tcPr>
          <w:p w14:paraId="3934A1EB" w14:textId="77777777" w:rsidR="00A354A9" w:rsidRPr="00A354A9" w:rsidRDefault="00A354A9" w:rsidP="0064676D">
            <w:pPr>
              <w:rPr>
                <w:sz w:val="20"/>
              </w:rPr>
            </w:pPr>
            <w:r w:rsidRPr="00A354A9">
              <w:rPr>
                <w:sz w:val="20"/>
              </w:rPr>
              <w:t xml:space="preserve">   PV1MAPF</w:t>
            </w:r>
          </w:p>
        </w:tc>
        <w:tc>
          <w:tcPr>
            <w:tcW w:w="4785" w:type="dxa"/>
          </w:tcPr>
          <w:p w14:paraId="3334964E" w14:textId="77777777" w:rsidR="00A354A9" w:rsidRPr="00A354A9" w:rsidRDefault="00A354A9" w:rsidP="0064676D">
            <w:pPr>
              <w:rPr>
                <w:sz w:val="20"/>
              </w:rPr>
            </w:pPr>
            <w:r w:rsidRPr="00A354A9">
              <w:rPr>
                <w:sz w:val="20"/>
              </w:rPr>
              <w:t xml:space="preserve">Plausible Value 1 – Formulate </w:t>
            </w:r>
          </w:p>
        </w:tc>
      </w:tr>
      <w:tr w:rsidR="00A354A9" w:rsidRPr="00A354A9" w14:paraId="474B7EE4" w14:textId="77777777" w:rsidTr="00A354A9">
        <w:tc>
          <w:tcPr>
            <w:tcW w:w="687" w:type="dxa"/>
          </w:tcPr>
          <w:p w14:paraId="0514BF78" w14:textId="77777777" w:rsidR="00A354A9" w:rsidRPr="00A354A9" w:rsidRDefault="00A354A9" w:rsidP="0064676D">
            <w:pPr>
              <w:rPr>
                <w:sz w:val="20"/>
              </w:rPr>
            </w:pPr>
          </w:p>
        </w:tc>
        <w:tc>
          <w:tcPr>
            <w:tcW w:w="2891" w:type="dxa"/>
          </w:tcPr>
          <w:p w14:paraId="0802088F" w14:textId="77777777" w:rsidR="00A354A9" w:rsidRPr="00A354A9" w:rsidRDefault="00A354A9" w:rsidP="0064676D">
            <w:pPr>
              <w:rPr>
                <w:sz w:val="20"/>
              </w:rPr>
            </w:pPr>
            <w:r w:rsidRPr="00A354A9">
              <w:rPr>
                <w:sz w:val="20"/>
              </w:rPr>
              <w:t xml:space="preserve">   PV2MAPF </w:t>
            </w:r>
          </w:p>
        </w:tc>
        <w:tc>
          <w:tcPr>
            <w:tcW w:w="4785" w:type="dxa"/>
          </w:tcPr>
          <w:p w14:paraId="510EFEA2" w14:textId="77777777" w:rsidR="00A354A9" w:rsidRPr="00A354A9" w:rsidRDefault="00A354A9" w:rsidP="0064676D">
            <w:pPr>
              <w:rPr>
                <w:sz w:val="20"/>
              </w:rPr>
            </w:pPr>
            <w:r w:rsidRPr="00A354A9">
              <w:rPr>
                <w:sz w:val="20"/>
              </w:rPr>
              <w:t>Plausible Value 2 – Formulate</w:t>
            </w:r>
          </w:p>
        </w:tc>
      </w:tr>
      <w:tr w:rsidR="00A354A9" w:rsidRPr="00A354A9" w14:paraId="4EC41863" w14:textId="77777777" w:rsidTr="00A354A9">
        <w:tc>
          <w:tcPr>
            <w:tcW w:w="687" w:type="dxa"/>
          </w:tcPr>
          <w:p w14:paraId="364FDC34" w14:textId="77777777" w:rsidR="00A354A9" w:rsidRPr="00A354A9" w:rsidRDefault="00A354A9" w:rsidP="0064676D">
            <w:pPr>
              <w:rPr>
                <w:sz w:val="20"/>
              </w:rPr>
            </w:pPr>
          </w:p>
        </w:tc>
        <w:tc>
          <w:tcPr>
            <w:tcW w:w="2891" w:type="dxa"/>
          </w:tcPr>
          <w:p w14:paraId="30BF7588" w14:textId="77777777" w:rsidR="00A354A9" w:rsidRPr="00A354A9" w:rsidRDefault="00A354A9" w:rsidP="0064676D">
            <w:pPr>
              <w:rPr>
                <w:sz w:val="20"/>
              </w:rPr>
            </w:pPr>
            <w:r w:rsidRPr="00A354A9">
              <w:rPr>
                <w:sz w:val="20"/>
              </w:rPr>
              <w:t xml:space="preserve">   PV3MAPF</w:t>
            </w:r>
          </w:p>
        </w:tc>
        <w:tc>
          <w:tcPr>
            <w:tcW w:w="4785" w:type="dxa"/>
          </w:tcPr>
          <w:p w14:paraId="3C0CB68D" w14:textId="77777777" w:rsidR="00A354A9" w:rsidRPr="00A354A9" w:rsidRDefault="00A354A9" w:rsidP="0064676D">
            <w:pPr>
              <w:rPr>
                <w:sz w:val="20"/>
              </w:rPr>
            </w:pPr>
            <w:r w:rsidRPr="00A354A9">
              <w:rPr>
                <w:sz w:val="20"/>
              </w:rPr>
              <w:t>Plausible Value 3 – Formulate</w:t>
            </w:r>
          </w:p>
        </w:tc>
      </w:tr>
      <w:tr w:rsidR="00A354A9" w:rsidRPr="00A354A9" w14:paraId="42DAA271" w14:textId="77777777" w:rsidTr="00A354A9">
        <w:tc>
          <w:tcPr>
            <w:tcW w:w="687" w:type="dxa"/>
          </w:tcPr>
          <w:p w14:paraId="53E86DA6" w14:textId="77777777" w:rsidR="00A354A9" w:rsidRPr="00A354A9" w:rsidRDefault="00A354A9" w:rsidP="0064676D">
            <w:pPr>
              <w:rPr>
                <w:sz w:val="20"/>
              </w:rPr>
            </w:pPr>
          </w:p>
        </w:tc>
        <w:tc>
          <w:tcPr>
            <w:tcW w:w="2891" w:type="dxa"/>
          </w:tcPr>
          <w:p w14:paraId="16C3516C" w14:textId="77777777" w:rsidR="00A354A9" w:rsidRPr="00A354A9" w:rsidRDefault="00A354A9" w:rsidP="0064676D">
            <w:pPr>
              <w:rPr>
                <w:sz w:val="20"/>
              </w:rPr>
            </w:pPr>
            <w:r w:rsidRPr="00A354A9">
              <w:rPr>
                <w:sz w:val="20"/>
              </w:rPr>
              <w:t xml:space="preserve">   PV4MAPF </w:t>
            </w:r>
          </w:p>
        </w:tc>
        <w:tc>
          <w:tcPr>
            <w:tcW w:w="4785" w:type="dxa"/>
          </w:tcPr>
          <w:p w14:paraId="5E176716" w14:textId="77777777" w:rsidR="00A354A9" w:rsidRPr="00A354A9" w:rsidRDefault="00A354A9" w:rsidP="0064676D">
            <w:pPr>
              <w:rPr>
                <w:sz w:val="20"/>
              </w:rPr>
            </w:pPr>
            <w:r w:rsidRPr="00A354A9">
              <w:rPr>
                <w:sz w:val="20"/>
              </w:rPr>
              <w:t>Plausible Value 4 – Formulate</w:t>
            </w:r>
          </w:p>
        </w:tc>
      </w:tr>
      <w:tr w:rsidR="00A354A9" w:rsidRPr="00A354A9" w14:paraId="37CFF34F" w14:textId="77777777" w:rsidTr="00A354A9">
        <w:tc>
          <w:tcPr>
            <w:tcW w:w="687" w:type="dxa"/>
          </w:tcPr>
          <w:p w14:paraId="58968EA8" w14:textId="77777777" w:rsidR="00A354A9" w:rsidRPr="00A354A9" w:rsidRDefault="00A354A9" w:rsidP="0064676D">
            <w:pPr>
              <w:rPr>
                <w:sz w:val="20"/>
              </w:rPr>
            </w:pPr>
          </w:p>
        </w:tc>
        <w:tc>
          <w:tcPr>
            <w:tcW w:w="2891" w:type="dxa"/>
          </w:tcPr>
          <w:p w14:paraId="22EBB96C" w14:textId="77777777" w:rsidR="00A354A9" w:rsidRPr="00A354A9" w:rsidRDefault="00A354A9" w:rsidP="0064676D">
            <w:pPr>
              <w:rPr>
                <w:sz w:val="20"/>
              </w:rPr>
            </w:pPr>
            <w:r w:rsidRPr="00A354A9">
              <w:rPr>
                <w:sz w:val="20"/>
              </w:rPr>
              <w:t xml:space="preserve">   PV5MAPF</w:t>
            </w:r>
          </w:p>
        </w:tc>
        <w:tc>
          <w:tcPr>
            <w:tcW w:w="4785" w:type="dxa"/>
          </w:tcPr>
          <w:p w14:paraId="48351769" w14:textId="77777777" w:rsidR="00A354A9" w:rsidRPr="00A354A9" w:rsidRDefault="00A354A9" w:rsidP="0064676D">
            <w:pPr>
              <w:rPr>
                <w:sz w:val="20"/>
              </w:rPr>
            </w:pPr>
            <w:r w:rsidRPr="00A354A9">
              <w:rPr>
                <w:sz w:val="20"/>
              </w:rPr>
              <w:t xml:space="preserve">Plausible Value 5 – Formulate </w:t>
            </w:r>
          </w:p>
        </w:tc>
      </w:tr>
      <w:tr w:rsidR="00A354A9" w:rsidRPr="00A354A9" w14:paraId="660784DE" w14:textId="77777777" w:rsidTr="00A354A9">
        <w:tc>
          <w:tcPr>
            <w:tcW w:w="687" w:type="dxa"/>
          </w:tcPr>
          <w:p w14:paraId="3FB5E136" w14:textId="77777777" w:rsidR="00A354A9" w:rsidRPr="00A354A9" w:rsidRDefault="00A354A9" w:rsidP="0064676D">
            <w:pPr>
              <w:rPr>
                <w:sz w:val="20"/>
              </w:rPr>
            </w:pPr>
            <w:r w:rsidRPr="00A354A9">
              <w:rPr>
                <w:sz w:val="20"/>
              </w:rPr>
              <w:t>3</w:t>
            </w:r>
          </w:p>
        </w:tc>
        <w:tc>
          <w:tcPr>
            <w:tcW w:w="2891" w:type="dxa"/>
          </w:tcPr>
          <w:p w14:paraId="3F8DA158" w14:textId="77777777" w:rsidR="00A354A9" w:rsidRPr="00A354A9" w:rsidRDefault="00A354A9" w:rsidP="0064676D">
            <w:pPr>
              <w:rPr>
                <w:sz w:val="20"/>
              </w:rPr>
            </w:pPr>
            <w:r w:rsidRPr="00A354A9">
              <w:rPr>
                <w:sz w:val="20"/>
              </w:rPr>
              <w:t>Interpret</w:t>
            </w:r>
          </w:p>
        </w:tc>
        <w:tc>
          <w:tcPr>
            <w:tcW w:w="4785" w:type="dxa"/>
          </w:tcPr>
          <w:p w14:paraId="377386CF" w14:textId="77777777" w:rsidR="00A354A9" w:rsidRPr="00A354A9" w:rsidRDefault="00A354A9" w:rsidP="0064676D">
            <w:pPr>
              <w:rPr>
                <w:sz w:val="20"/>
              </w:rPr>
            </w:pPr>
          </w:p>
        </w:tc>
      </w:tr>
      <w:tr w:rsidR="00A354A9" w:rsidRPr="00A354A9" w14:paraId="3A01C6B8" w14:textId="77777777" w:rsidTr="00A354A9">
        <w:tc>
          <w:tcPr>
            <w:tcW w:w="687" w:type="dxa"/>
          </w:tcPr>
          <w:p w14:paraId="49813867" w14:textId="77777777" w:rsidR="00A354A9" w:rsidRPr="00A354A9" w:rsidRDefault="00A354A9" w:rsidP="0064676D">
            <w:pPr>
              <w:rPr>
                <w:sz w:val="20"/>
              </w:rPr>
            </w:pPr>
          </w:p>
        </w:tc>
        <w:tc>
          <w:tcPr>
            <w:tcW w:w="2891" w:type="dxa"/>
          </w:tcPr>
          <w:p w14:paraId="7D5D95A4" w14:textId="77777777" w:rsidR="00A354A9" w:rsidRPr="00A354A9" w:rsidRDefault="00A354A9" w:rsidP="0064676D">
            <w:pPr>
              <w:rPr>
                <w:sz w:val="20"/>
              </w:rPr>
            </w:pPr>
            <w:r w:rsidRPr="00A354A9">
              <w:rPr>
                <w:sz w:val="20"/>
              </w:rPr>
              <w:t xml:space="preserve">   PV1MAPI</w:t>
            </w:r>
          </w:p>
        </w:tc>
        <w:tc>
          <w:tcPr>
            <w:tcW w:w="4785" w:type="dxa"/>
          </w:tcPr>
          <w:p w14:paraId="0A42A6B3" w14:textId="77777777" w:rsidR="00A354A9" w:rsidRPr="00A354A9" w:rsidRDefault="00A354A9" w:rsidP="0064676D">
            <w:pPr>
              <w:rPr>
                <w:sz w:val="20"/>
              </w:rPr>
            </w:pPr>
            <w:r w:rsidRPr="00A354A9">
              <w:rPr>
                <w:sz w:val="20"/>
              </w:rPr>
              <w:t xml:space="preserve">Plausible Value 1 – Interpret </w:t>
            </w:r>
          </w:p>
        </w:tc>
      </w:tr>
      <w:tr w:rsidR="00A354A9" w:rsidRPr="00A354A9" w14:paraId="5D5AC6FD" w14:textId="77777777" w:rsidTr="00A354A9">
        <w:tc>
          <w:tcPr>
            <w:tcW w:w="687" w:type="dxa"/>
          </w:tcPr>
          <w:p w14:paraId="71314254" w14:textId="77777777" w:rsidR="00A354A9" w:rsidRPr="00A354A9" w:rsidRDefault="00A354A9" w:rsidP="0064676D">
            <w:pPr>
              <w:rPr>
                <w:sz w:val="20"/>
              </w:rPr>
            </w:pPr>
          </w:p>
        </w:tc>
        <w:tc>
          <w:tcPr>
            <w:tcW w:w="2891" w:type="dxa"/>
          </w:tcPr>
          <w:p w14:paraId="09CA8748" w14:textId="77777777" w:rsidR="00A354A9" w:rsidRPr="00A354A9" w:rsidRDefault="00A354A9" w:rsidP="0064676D">
            <w:pPr>
              <w:rPr>
                <w:sz w:val="20"/>
              </w:rPr>
            </w:pPr>
            <w:r w:rsidRPr="00A354A9">
              <w:rPr>
                <w:sz w:val="20"/>
              </w:rPr>
              <w:t xml:space="preserve">   PV2MAPI </w:t>
            </w:r>
          </w:p>
        </w:tc>
        <w:tc>
          <w:tcPr>
            <w:tcW w:w="4785" w:type="dxa"/>
          </w:tcPr>
          <w:p w14:paraId="39B484E3" w14:textId="77777777" w:rsidR="00A354A9" w:rsidRPr="00A354A9" w:rsidRDefault="00A354A9" w:rsidP="0064676D">
            <w:pPr>
              <w:rPr>
                <w:sz w:val="20"/>
              </w:rPr>
            </w:pPr>
            <w:r w:rsidRPr="00A354A9">
              <w:rPr>
                <w:sz w:val="20"/>
              </w:rPr>
              <w:t>Plausible Value 2 – Interpret</w:t>
            </w:r>
          </w:p>
        </w:tc>
      </w:tr>
      <w:tr w:rsidR="00A354A9" w:rsidRPr="00A354A9" w14:paraId="39FE1967" w14:textId="77777777" w:rsidTr="00A354A9">
        <w:tc>
          <w:tcPr>
            <w:tcW w:w="687" w:type="dxa"/>
          </w:tcPr>
          <w:p w14:paraId="7E90BF88" w14:textId="77777777" w:rsidR="00A354A9" w:rsidRPr="00A354A9" w:rsidRDefault="00A354A9" w:rsidP="0064676D">
            <w:pPr>
              <w:rPr>
                <w:sz w:val="20"/>
              </w:rPr>
            </w:pPr>
          </w:p>
        </w:tc>
        <w:tc>
          <w:tcPr>
            <w:tcW w:w="2891" w:type="dxa"/>
          </w:tcPr>
          <w:p w14:paraId="1210CCA1" w14:textId="77777777" w:rsidR="00A354A9" w:rsidRPr="00A354A9" w:rsidRDefault="00A354A9" w:rsidP="0064676D">
            <w:pPr>
              <w:rPr>
                <w:sz w:val="20"/>
              </w:rPr>
            </w:pPr>
            <w:r w:rsidRPr="00A354A9">
              <w:rPr>
                <w:sz w:val="20"/>
              </w:rPr>
              <w:t xml:space="preserve">   PV3MAPI</w:t>
            </w:r>
          </w:p>
        </w:tc>
        <w:tc>
          <w:tcPr>
            <w:tcW w:w="4785" w:type="dxa"/>
          </w:tcPr>
          <w:p w14:paraId="2986F8A8" w14:textId="77777777" w:rsidR="00A354A9" w:rsidRPr="00A354A9" w:rsidRDefault="00A354A9" w:rsidP="0064676D">
            <w:pPr>
              <w:rPr>
                <w:sz w:val="20"/>
              </w:rPr>
            </w:pPr>
            <w:r w:rsidRPr="00A354A9">
              <w:rPr>
                <w:sz w:val="20"/>
              </w:rPr>
              <w:t>Plausible Value 3 – Interpret</w:t>
            </w:r>
          </w:p>
        </w:tc>
      </w:tr>
      <w:tr w:rsidR="00A354A9" w:rsidRPr="00A354A9" w14:paraId="06B9D1E6" w14:textId="77777777" w:rsidTr="00A354A9">
        <w:tc>
          <w:tcPr>
            <w:tcW w:w="687" w:type="dxa"/>
          </w:tcPr>
          <w:p w14:paraId="64214C1F" w14:textId="77777777" w:rsidR="00A354A9" w:rsidRPr="00A354A9" w:rsidRDefault="00A354A9" w:rsidP="0064676D">
            <w:pPr>
              <w:rPr>
                <w:sz w:val="20"/>
              </w:rPr>
            </w:pPr>
          </w:p>
        </w:tc>
        <w:tc>
          <w:tcPr>
            <w:tcW w:w="2891" w:type="dxa"/>
          </w:tcPr>
          <w:p w14:paraId="6C723AF1" w14:textId="77777777" w:rsidR="00A354A9" w:rsidRPr="00A354A9" w:rsidRDefault="00A354A9" w:rsidP="0064676D">
            <w:pPr>
              <w:rPr>
                <w:sz w:val="20"/>
              </w:rPr>
            </w:pPr>
            <w:r w:rsidRPr="00A354A9">
              <w:rPr>
                <w:sz w:val="20"/>
              </w:rPr>
              <w:t xml:space="preserve">   PV4MAPI </w:t>
            </w:r>
          </w:p>
        </w:tc>
        <w:tc>
          <w:tcPr>
            <w:tcW w:w="4785" w:type="dxa"/>
          </w:tcPr>
          <w:p w14:paraId="754C2F27" w14:textId="77777777" w:rsidR="00A354A9" w:rsidRPr="00A354A9" w:rsidRDefault="00A354A9" w:rsidP="0064676D">
            <w:pPr>
              <w:rPr>
                <w:sz w:val="20"/>
              </w:rPr>
            </w:pPr>
            <w:r w:rsidRPr="00A354A9">
              <w:rPr>
                <w:sz w:val="20"/>
              </w:rPr>
              <w:t>Plausible Value 4 – Interpret</w:t>
            </w:r>
          </w:p>
        </w:tc>
      </w:tr>
      <w:tr w:rsidR="00A354A9" w:rsidRPr="00A354A9" w14:paraId="24DEF701" w14:textId="77777777" w:rsidTr="00A354A9">
        <w:tc>
          <w:tcPr>
            <w:tcW w:w="687" w:type="dxa"/>
            <w:tcBorders>
              <w:bottom w:val="single" w:sz="4" w:space="0" w:color="auto"/>
            </w:tcBorders>
          </w:tcPr>
          <w:p w14:paraId="21B6193B" w14:textId="77777777" w:rsidR="00A354A9" w:rsidRPr="00A354A9" w:rsidRDefault="00A354A9" w:rsidP="0064676D">
            <w:pPr>
              <w:rPr>
                <w:sz w:val="20"/>
              </w:rPr>
            </w:pPr>
          </w:p>
        </w:tc>
        <w:tc>
          <w:tcPr>
            <w:tcW w:w="2891" w:type="dxa"/>
            <w:tcBorders>
              <w:bottom w:val="single" w:sz="4" w:space="0" w:color="auto"/>
            </w:tcBorders>
          </w:tcPr>
          <w:p w14:paraId="61F2BA82" w14:textId="77777777" w:rsidR="00A354A9" w:rsidRPr="00A354A9" w:rsidRDefault="00A354A9" w:rsidP="0064676D">
            <w:pPr>
              <w:rPr>
                <w:sz w:val="20"/>
              </w:rPr>
            </w:pPr>
            <w:r w:rsidRPr="00A354A9">
              <w:rPr>
                <w:sz w:val="20"/>
              </w:rPr>
              <w:t xml:space="preserve">   PV5MAPI </w:t>
            </w:r>
          </w:p>
        </w:tc>
        <w:tc>
          <w:tcPr>
            <w:tcW w:w="4785" w:type="dxa"/>
            <w:tcBorders>
              <w:bottom w:val="single" w:sz="4" w:space="0" w:color="auto"/>
            </w:tcBorders>
          </w:tcPr>
          <w:p w14:paraId="37E9F168" w14:textId="77777777" w:rsidR="00A354A9" w:rsidRPr="00A354A9" w:rsidRDefault="00A354A9" w:rsidP="0064676D">
            <w:pPr>
              <w:rPr>
                <w:sz w:val="20"/>
              </w:rPr>
            </w:pPr>
            <w:r w:rsidRPr="00A354A9">
              <w:rPr>
                <w:sz w:val="20"/>
              </w:rPr>
              <w:t>Plausible Value 5 – Interpret</w:t>
            </w:r>
          </w:p>
        </w:tc>
      </w:tr>
    </w:tbl>
    <w:p w14:paraId="43E618A6" w14:textId="77777777" w:rsidR="00701C3D" w:rsidRPr="00701C3D" w:rsidRDefault="00701C3D" w:rsidP="00701C3D">
      <w:pPr>
        <w:pStyle w:val="Paragraphbulleted"/>
        <w:numPr>
          <w:ilvl w:val="0"/>
          <w:numId w:val="0"/>
        </w:numPr>
      </w:pPr>
    </w:p>
    <w:p w14:paraId="6ACAB429" w14:textId="3A1E9FD2" w:rsidR="002E1C2D" w:rsidRDefault="002E1C2D" w:rsidP="002E1C2D">
      <w:pPr>
        <w:pStyle w:val="Paragraphbulleted"/>
        <w:ind w:left="641" w:hanging="357"/>
      </w:pPr>
      <w:r>
        <w:rPr>
          <w:b/>
          <w:bCs/>
        </w:rPr>
        <w:t xml:space="preserve">Model 1: </w:t>
      </w:r>
      <w:r>
        <w:t xml:space="preserve"> </w:t>
      </w:r>
    </w:p>
    <w:p w14:paraId="7D6E6F8B" w14:textId="77777777" w:rsidR="002E1C2D" w:rsidRPr="003A38EA" w:rsidRDefault="002E1C2D" w:rsidP="002E1C2D">
      <w:pPr>
        <w:pStyle w:val="Paragraphbulleted"/>
        <w:numPr>
          <w:ilvl w:val="0"/>
          <w:numId w:val="0"/>
        </w:numPr>
        <w:ind w:left="641"/>
      </w:pPr>
      <w:r w:rsidRPr="003A38EA">
        <w:t>Model 1 is the random intercept model. In a random intercept model, it is assumed that the average mathematics literacy ability varied across the schools. In a random intercept model, the slope is fixed. Because the slope is fixed, it is assumed that the associations between the explanatory variables and mathematics literacy ability remained the same across the schools.</w:t>
      </w:r>
      <w:r w:rsidRPr="003A38EA">
        <w:fldChar w:fldCharType="begin" w:fldLock="1"/>
      </w:r>
      <w:r>
        <w:instrText>ADDIN CSL_CITATION {"citationItems":[{"id":"ITEM-1","itemData":{"DOI":"10.1111/bjep.12351","ISSN":"20448279","PMID":"32369197","abstract":"Background: Previous studies have suggested that teachers’ frequent use of cognitive activation strategies in mathematics lessons is positively associated with students’ mathematics achievement. Aims: This study aims to investigate the possible mediating role of mathematics self-efficacy in the association between cognitive activation and achievement in mathematics classrooms. Besides that, we explored the moderating role of students’ socioeconomic status (SES) in the relationships between cognitive activation, mathematics self-efficacy, and mathematics achievement. Samples: This study employed data from a project of the National Assessment Center for Education Quality (NACEQ) in China. A sample with 8707 fourth-grade primary students and 129 mathematics teachers was analysed. Methods: The multi-level analysis was used in this study with students representing the level-1 units and teachers representing the level-2 units. Results: Based on a large-scale standard assessment and survey in China, this study showed that cognitive activation was positively related to mathematics performance overall. Mathematics self-efficacy played a vital mediating role in the association between cognitive activation and mathematics achievement. The indirect relationship between cognitive activation and mathematics achievement via mathematics self-efficacy was moderated by SES both at the student level and the teacher level. Conclusions: Our study suggests the importance of cognitively activating instruction, especially for students with lower SES and classes with lower average SES.","author":[{"dropping-particle":"","family":"Li","given":"Hui","non-dropping-particle":"","parse-names":false,"suffix":""},{"dropping-particle":"","family":"Liu","given":"Jian","non-dropping-particle":"","parse-names":false,"suffix":""},{"dropping-particle":"","family":"Zhang","given":"Dan","non-dropping-particle":"","parse-names":false,"suffix":""},{"dropping-particle":"","family":"Liu","given":"Hongyun","non-dropping-particle":"","parse-names":false,"suffix":""}],"container-title":"British Journal of Educational Psychology","id":"ITEM-1","issue":"1","issued":{"date-parts":[["2021"]]},"page":"101-126","title":"Examining the relationships between cognitive activation, self-efficacy, socioeconomic status, and achievement in mathematics: A multi-level analysis","type":"article-journal","volume":"91"},"uris":["http://www.mendeley.com/documents/?uuid=a7894ea6-6b12-4155-b4d8-329a0e8ea917"]}],"mendeley":{"formattedCitation":"[10]","plainTextFormattedCitation":"[10]","previouslyFormattedCitation":"[10]"},"properties":{"noteIndex":0},"schema":"https://github.com/citation-style-language/schema/raw/master/csl-citation.json"}</w:instrText>
      </w:r>
      <w:r w:rsidRPr="003A38EA">
        <w:fldChar w:fldCharType="separate"/>
      </w:r>
      <w:r w:rsidRPr="00E15830">
        <w:rPr>
          <w:noProof/>
        </w:rPr>
        <w:t>[10]</w:t>
      </w:r>
      <w:r w:rsidRPr="003A38EA">
        <w:fldChar w:fldCharType="end"/>
      </w:r>
      <w:r w:rsidRPr="003A38EA">
        <w:t xml:space="preserve">. Model 1 is obtained by adding two level-1 predictors and one level-2 predictor to the null model. The complete form of model 2 is shown in equation (4). </w:t>
      </w:r>
    </w:p>
    <w:p w14:paraId="10BA2202" w14:textId="77777777" w:rsidR="002E1C2D" w:rsidRPr="00AA51BD" w:rsidRDefault="00000000" w:rsidP="002E1C2D">
      <w:pPr>
        <w:pStyle w:val="Paragraphbulleted"/>
        <w:numPr>
          <w:ilvl w:val="0"/>
          <w:numId w:val="0"/>
        </w:numPr>
        <w:ind w:left="641"/>
      </w:pPr>
      <m:oMathPara>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10</m:t>
              </m:r>
            </m:sub>
          </m:sSub>
          <m:r>
            <w:rPr>
              <w:rFonts w:ascii="Cambria Math" w:hAnsi="Cambria Math"/>
            </w:rPr>
            <m:t>teache</m:t>
          </m:r>
          <m:sSub>
            <m:sSubPr>
              <m:ctrlPr>
                <w:rPr>
                  <w:rFonts w:ascii="Cambria Math" w:hAnsi="Cambria Math"/>
                </w:rPr>
              </m:ctrlPr>
            </m:sSubPr>
            <m:e>
              <m:r>
                <w:rPr>
                  <w:rFonts w:ascii="Cambria Math" w:hAnsi="Cambria Math"/>
                </w:rPr>
                <m:t>r</m:t>
              </m:r>
            </m:e>
            <m:sub>
              <m:r>
                <w:rPr>
                  <w:rFonts w:ascii="Cambria Math" w:hAnsi="Cambria Math"/>
                </w:rPr>
                <m:t>-</m:t>
              </m:r>
            </m:sub>
          </m:sSub>
          <m:r>
            <w:rPr>
              <w:rFonts w:ascii="Cambria Math" w:hAnsi="Cambria Math"/>
            </w:rPr>
            <m:t>suppor</m:t>
          </m:r>
          <m:sSub>
            <m:sSubPr>
              <m:ctrlPr>
                <w:rPr>
                  <w:rFonts w:ascii="Cambria Math" w:hAnsi="Cambria Math"/>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20</m:t>
              </m:r>
            </m:sub>
          </m:sSub>
          <m:r>
            <w:rPr>
              <w:rFonts w:ascii="Cambria Math" w:hAnsi="Cambria Math"/>
            </w:rPr>
            <m:t>Cognitiv</m:t>
          </m:r>
          <m:sSub>
            <m:sSubPr>
              <m:ctrlPr>
                <w:rPr>
                  <w:rFonts w:ascii="Cambria Math" w:hAnsi="Cambria Math"/>
                </w:rPr>
              </m:ctrlPr>
            </m:sSubPr>
            <m:e>
              <m:r>
                <w:rPr>
                  <w:rFonts w:ascii="Cambria Math" w:hAnsi="Cambria Math"/>
                </w:rPr>
                <m:t>e</m:t>
              </m:r>
            </m:e>
            <m:sub>
              <m:r>
                <w:rPr>
                  <w:rFonts w:ascii="Cambria Math" w:hAnsi="Cambria Math"/>
                </w:rPr>
                <m:t>-</m:t>
              </m:r>
            </m:sub>
          </m:sSub>
          <m:r>
            <w:rPr>
              <w:rFonts w:ascii="Cambria Math" w:hAnsi="Cambria Math"/>
            </w:rPr>
            <m:t>activatio</m:t>
          </m:r>
          <m:sSub>
            <m:sSubPr>
              <m:ctrlPr>
                <w:rPr>
                  <w:rFonts w:ascii="Cambria Math" w:hAnsi="Cambria Math"/>
                </w:rPr>
              </m:ctrlPr>
            </m:sSubPr>
            <m:e>
              <m:r>
                <w:rPr>
                  <w:rFonts w:ascii="Cambria Math" w:hAnsi="Cambria Math"/>
                </w:rPr>
                <m:t>n</m:t>
              </m:r>
            </m:e>
            <m:sub>
              <m:r>
                <w:rPr>
                  <w:rFonts w:ascii="Cambria Math" w:hAnsi="Cambria Math"/>
                </w:rPr>
                <m:t>ij</m:t>
              </m:r>
            </m:sub>
          </m:sSub>
          <m:r>
            <w:rPr>
              <w:rFonts w:ascii="Cambria Math" w:hAnsi="Cambria Math"/>
            </w:rPr>
            <m:t xml:space="preserve">+ </m:t>
          </m:r>
        </m:oMath>
      </m:oMathPara>
    </w:p>
    <w:p w14:paraId="4FB7599A" w14:textId="77777777" w:rsidR="002E1C2D" w:rsidRPr="003A38EA" w:rsidRDefault="00000000" w:rsidP="002E1C2D">
      <w:pPr>
        <w:pStyle w:val="Paragraphbulleted"/>
        <w:numPr>
          <w:ilvl w:val="0"/>
          <w:numId w:val="0"/>
        </w:numPr>
        <w:ind w:left="641"/>
        <w:jc w:val="right"/>
      </w:pPr>
      <m:oMath>
        <m:sSub>
          <m:sSubPr>
            <m:ctrlPr>
              <w:rPr>
                <w:rFonts w:ascii="Cambria Math" w:hAnsi="Cambria Math"/>
              </w:rPr>
            </m:ctrlPr>
          </m:sSubPr>
          <m:e>
            <m:r>
              <w:rPr>
                <w:rFonts w:ascii="Cambria Math" w:hAnsi="Cambria Math"/>
              </w:rPr>
              <m:t>γ</m:t>
            </m:r>
          </m:e>
          <m:sub>
            <m:r>
              <w:rPr>
                <w:rFonts w:ascii="Cambria Math" w:hAnsi="Cambria Math"/>
              </w:rPr>
              <m:t>01</m:t>
            </m:r>
          </m:sub>
        </m:sSub>
        <m:r>
          <w:rPr>
            <w:rFonts w:ascii="Cambria Math" w:hAnsi="Cambria Math"/>
          </w:rPr>
          <m:t>Schoo</m:t>
        </m:r>
        <m:sSub>
          <m:sSubPr>
            <m:ctrlPr>
              <w:rPr>
                <w:rFonts w:ascii="Cambria Math" w:hAnsi="Cambria Math"/>
              </w:rPr>
            </m:ctrlPr>
          </m:sSubPr>
          <m:e>
            <m:r>
              <w:rPr>
                <w:rFonts w:ascii="Cambria Math" w:hAnsi="Cambria Math"/>
              </w:rPr>
              <m:t>l</m:t>
            </m:r>
          </m:e>
          <m:sub>
            <m:r>
              <w:rPr>
                <w:rFonts w:ascii="Cambria Math" w:hAnsi="Cambria Math"/>
              </w:rPr>
              <m:t>-</m:t>
            </m:r>
          </m:sub>
        </m:sSub>
        <m:r>
          <w:rPr>
            <w:rFonts w:ascii="Cambria Math" w:hAnsi="Cambria Math"/>
          </w:rPr>
          <m:t>typ</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0j</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ij</m:t>
            </m:r>
          </m:sub>
        </m:sSub>
      </m:oMath>
      <w:r w:rsidR="002E1C2D" w:rsidRPr="003A38EA">
        <w:tab/>
      </w:r>
      <w:r w:rsidR="002E1C2D">
        <w:tab/>
      </w:r>
      <w:r w:rsidR="002E1C2D">
        <w:tab/>
      </w:r>
      <w:r w:rsidR="002E1C2D">
        <w:tab/>
      </w:r>
      <w:r w:rsidR="002E1C2D" w:rsidRPr="003A38EA">
        <w:t>(4)</w:t>
      </w:r>
    </w:p>
    <w:p w14:paraId="47F54F99" w14:textId="77777777" w:rsidR="002E1C2D" w:rsidRPr="003A38EA" w:rsidRDefault="002E1C2D" w:rsidP="002E1C2D">
      <w:pPr>
        <w:pStyle w:val="Paragraphbulleted"/>
        <w:numPr>
          <w:ilvl w:val="0"/>
          <w:numId w:val="0"/>
        </w:numPr>
        <w:ind w:left="641"/>
      </w:pPr>
    </w:p>
    <w:p w14:paraId="51B41CFE" w14:textId="0794B0ED" w:rsidR="002E1C2D" w:rsidRDefault="00000000" w:rsidP="000E2DC0">
      <w:pPr>
        <w:pStyle w:val="Paragraphbulleted"/>
        <w:numPr>
          <w:ilvl w:val="0"/>
          <w:numId w:val="0"/>
        </w:numPr>
        <w:ind w:left="1276"/>
      </w:pP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2E1C2D" w:rsidRPr="003A38EA">
        <w:t xml:space="preserve"> = responses (employ, formulate, and interpret) </w:t>
      </w:r>
    </w:p>
    <w:p w14:paraId="05C92434" w14:textId="77777777" w:rsidR="002E1C2D" w:rsidRDefault="002E1C2D" w:rsidP="002E1C2D">
      <w:pPr>
        <w:pStyle w:val="Paragraphbulleted"/>
        <w:ind w:left="641" w:hanging="357"/>
      </w:pPr>
      <w:r>
        <w:rPr>
          <w:b/>
          <w:bCs/>
        </w:rPr>
        <w:lastRenderedPageBreak/>
        <w:t>Model 2:</w:t>
      </w:r>
      <w:r>
        <w:t xml:space="preserve"> </w:t>
      </w:r>
    </w:p>
    <w:p w14:paraId="107E8FE6" w14:textId="09DBEF36" w:rsidR="002E1C2D" w:rsidRDefault="002E1C2D" w:rsidP="002E1C2D">
      <w:pPr>
        <w:pStyle w:val="Paragraphbulleted"/>
        <w:numPr>
          <w:ilvl w:val="0"/>
          <w:numId w:val="0"/>
        </w:numPr>
        <w:ind w:left="644"/>
      </w:pPr>
      <w:r w:rsidRPr="009D7AD6">
        <w:t xml:space="preserve">Model 2 is the random slope model. In a random slope model, the slope for each line that represented each group is different. It means that this model allows the explanatory variable to have a different effect for each group. </w:t>
      </w:r>
      <w:r w:rsidRPr="009D7AD6">
        <w:fldChar w:fldCharType="begin" w:fldLock="1"/>
      </w:r>
      <w:r w:rsidR="00F52729">
        <w:instrText>ADDIN CSL_CITATION {"citationItems":[{"id":"ITEM-1","itemData":{"URL":"http://www.bristol.ac.uk/cmm/learning/videos/random-slopes.html","accessed":{"date-parts":[["2022","7","3"]]},"author":[{"dropping-particle":"","family":"Pillinger","given":"Rebecca","non-dropping-particle":"","parse-names":false,"suffix":""}],"container-title":"University of Bristol","id":"ITEM-1","issued":{"date-parts":[["0"]]},"title":"Random slope models","type":"webpage"},"uris":["http://www.mendeley.com/documents/?uuid=82fab104-dcdf-430e-ba9a-2790f800e409"]}],"mendeley":{"formattedCitation":"[16]","plainTextFormattedCitation":"[16]","previouslyFormattedCitation":"[16]"},"properties":{"noteIndex":0},"schema":"https://github.com/citation-style-language/schema/raw/master/csl-citation.json"}</w:instrText>
      </w:r>
      <w:r w:rsidRPr="009D7AD6">
        <w:fldChar w:fldCharType="separate"/>
      </w:r>
      <w:r w:rsidRPr="006366A3">
        <w:rPr>
          <w:noProof/>
        </w:rPr>
        <w:t>[16]</w:t>
      </w:r>
      <w:r w:rsidRPr="009D7AD6">
        <w:fldChar w:fldCharType="end"/>
      </w:r>
      <w:r w:rsidRPr="009D7AD6">
        <w:t xml:space="preserve"> Based on this explanation, in this study, it can be said that the relationship between the explanatory variables and the mathematics literacy ability to be different for each group. Model 2 is using the same predictors as model 1. In Model 1, the level-2 predictor was assumed as a fixed effect, while model 2 allows the impact of school type on mathematics literacy ability to vary from one school to another.</w:t>
      </w:r>
      <w:r>
        <w:t xml:space="preserve"> Model 2 is shown in the equation (5).</w:t>
      </w:r>
    </w:p>
    <w:p w14:paraId="62631616" w14:textId="77777777" w:rsidR="002E1C2D" w:rsidRPr="00475000" w:rsidRDefault="00000000" w:rsidP="002E1C2D">
      <w:pPr>
        <w:pStyle w:val="Paragraphbulleted"/>
        <w:numPr>
          <w:ilvl w:val="0"/>
          <w:numId w:val="0"/>
        </w:numPr>
        <w:ind w:left="644"/>
        <w:jc w:val="center"/>
      </w:pPr>
      <m:oMathPara>
        <m:oMath>
          <m:sSub>
            <m:sSubPr>
              <m:ctrlPr>
                <w:rPr>
                  <w:rFonts w:ascii="Cambria Math" w:hAnsi="Cambria Math"/>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10</m:t>
              </m:r>
            </m:sub>
          </m:sSub>
          <m:r>
            <w:rPr>
              <w:rFonts w:ascii="Cambria Math" w:hAnsi="Cambria Math"/>
            </w:rPr>
            <m:t>teache</m:t>
          </m:r>
          <m:sSub>
            <m:sSubPr>
              <m:ctrlPr>
                <w:rPr>
                  <w:rFonts w:ascii="Cambria Math" w:hAnsi="Cambria Math"/>
                </w:rPr>
              </m:ctrlPr>
            </m:sSubPr>
            <m:e>
              <m:r>
                <w:rPr>
                  <w:rFonts w:ascii="Cambria Math" w:hAnsi="Cambria Math"/>
                </w:rPr>
                <m:t>r</m:t>
              </m:r>
            </m:e>
            <m:sub>
              <m:r>
                <w:rPr>
                  <w:rFonts w:ascii="Cambria Math" w:hAnsi="Cambria Math"/>
                </w:rPr>
                <m:t>-</m:t>
              </m:r>
            </m:sub>
          </m:sSub>
          <m:r>
            <w:rPr>
              <w:rFonts w:ascii="Cambria Math" w:hAnsi="Cambria Math"/>
            </w:rPr>
            <m:t>suppor</m:t>
          </m:r>
          <m:sSub>
            <m:sSubPr>
              <m:ctrlPr>
                <w:rPr>
                  <w:rFonts w:ascii="Cambria Math" w:hAnsi="Cambria Math"/>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20</m:t>
              </m:r>
            </m:sub>
          </m:sSub>
          <m:r>
            <w:rPr>
              <w:rFonts w:ascii="Cambria Math" w:hAnsi="Cambria Math"/>
            </w:rPr>
            <m:t>Cognitiv</m:t>
          </m:r>
          <m:sSub>
            <m:sSubPr>
              <m:ctrlPr>
                <w:rPr>
                  <w:rFonts w:ascii="Cambria Math" w:hAnsi="Cambria Math"/>
                </w:rPr>
              </m:ctrlPr>
            </m:sSubPr>
            <m:e>
              <m:r>
                <w:rPr>
                  <w:rFonts w:ascii="Cambria Math" w:hAnsi="Cambria Math"/>
                </w:rPr>
                <m:t>e</m:t>
              </m:r>
            </m:e>
            <m:sub>
              <m:r>
                <w:rPr>
                  <w:rFonts w:ascii="Cambria Math" w:hAnsi="Cambria Math"/>
                </w:rPr>
                <m:t>-</m:t>
              </m:r>
            </m:sub>
          </m:sSub>
          <m:r>
            <w:rPr>
              <w:rFonts w:ascii="Cambria Math" w:hAnsi="Cambria Math"/>
            </w:rPr>
            <m:t>activatio</m:t>
          </m:r>
          <m:sSub>
            <m:sSubPr>
              <m:ctrlPr>
                <w:rPr>
                  <w:rFonts w:ascii="Cambria Math" w:hAnsi="Cambria Math"/>
                </w:rPr>
              </m:ctrlPr>
            </m:sSubPr>
            <m:e>
              <m:r>
                <w:rPr>
                  <w:rFonts w:ascii="Cambria Math" w:hAnsi="Cambria Math"/>
                </w:rPr>
                <m:t>n</m:t>
              </m:r>
            </m:e>
            <m:sub>
              <m:r>
                <w:rPr>
                  <w:rFonts w:ascii="Cambria Math" w:hAnsi="Cambria Math"/>
                </w:rPr>
                <m:t>ij</m:t>
              </m:r>
            </m:sub>
          </m:sSub>
          <m:r>
            <w:rPr>
              <w:rFonts w:ascii="Cambria Math" w:hAnsi="Cambria Math"/>
            </w:rPr>
            <m:t xml:space="preserve">+ </m:t>
          </m:r>
          <m:sSub>
            <m:sSubPr>
              <m:ctrlPr>
                <w:rPr>
                  <w:rFonts w:ascii="Cambria Math" w:hAnsi="Cambria Math"/>
                </w:rPr>
              </m:ctrlPr>
            </m:sSubPr>
            <m:e>
              <m:r>
                <w:rPr>
                  <w:rFonts w:ascii="Cambria Math" w:hAnsi="Cambria Math"/>
                </w:rPr>
                <m:t>γ</m:t>
              </m:r>
            </m:e>
            <m:sub>
              <m:r>
                <w:rPr>
                  <w:rFonts w:ascii="Cambria Math" w:hAnsi="Cambria Math"/>
                </w:rPr>
                <m:t>01</m:t>
              </m:r>
            </m:sub>
          </m:sSub>
          <m:r>
            <w:rPr>
              <w:rFonts w:ascii="Cambria Math" w:hAnsi="Cambria Math"/>
            </w:rPr>
            <m:t>Schoo</m:t>
          </m:r>
          <m:sSub>
            <m:sSubPr>
              <m:ctrlPr>
                <w:rPr>
                  <w:rFonts w:ascii="Cambria Math" w:hAnsi="Cambria Math"/>
                </w:rPr>
              </m:ctrlPr>
            </m:sSubPr>
            <m:e>
              <m:r>
                <w:rPr>
                  <w:rFonts w:ascii="Cambria Math" w:hAnsi="Cambria Math"/>
                </w:rPr>
                <m:t>l</m:t>
              </m:r>
            </m:e>
            <m:sub>
              <m:r>
                <w:rPr>
                  <w:rFonts w:ascii="Cambria Math" w:hAnsi="Cambria Math"/>
                </w:rPr>
                <m:t>-</m:t>
              </m:r>
            </m:sub>
          </m:sSub>
          <m:r>
            <w:rPr>
              <w:rFonts w:ascii="Cambria Math" w:hAnsi="Cambria Math"/>
            </w:rPr>
            <m:t>typ</m:t>
          </m:r>
          <m:sSub>
            <m:sSubPr>
              <m:ctrlPr>
                <w:rPr>
                  <w:rFonts w:ascii="Cambria Math" w:hAnsi="Cambria Math"/>
                </w:rPr>
              </m:ctrlPr>
            </m:sSubPr>
            <m:e>
              <m:r>
                <w:rPr>
                  <w:rFonts w:ascii="Cambria Math" w:hAnsi="Cambria Math"/>
                </w:rPr>
                <m:t>e</m:t>
              </m:r>
            </m:e>
            <m:sub>
              <m:r>
                <w:rPr>
                  <w:rFonts w:ascii="Cambria Math" w:hAnsi="Cambria Math"/>
                </w:rPr>
                <m:t>ij</m:t>
              </m:r>
            </m:sub>
          </m:sSub>
        </m:oMath>
      </m:oMathPara>
    </w:p>
    <w:p w14:paraId="0E53384A" w14:textId="77777777" w:rsidR="002E1C2D" w:rsidRDefault="002E1C2D" w:rsidP="002E1C2D">
      <w:pPr>
        <w:pStyle w:val="Paragraphbulleted"/>
        <w:numPr>
          <w:ilvl w:val="0"/>
          <w:numId w:val="0"/>
        </w:numPr>
        <w:ind w:left="644"/>
        <w:jc w:val="right"/>
      </w:pP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j1</m:t>
            </m:r>
          </m:sub>
        </m:sSub>
        <m:r>
          <w:rPr>
            <w:rFonts w:ascii="Cambria Math" w:hAnsi="Cambria Math"/>
          </w:rPr>
          <m:t>Schoo</m:t>
        </m:r>
        <m:sSub>
          <m:sSubPr>
            <m:ctrlPr>
              <w:rPr>
                <w:rFonts w:ascii="Cambria Math" w:hAnsi="Cambria Math"/>
              </w:rPr>
            </m:ctrlPr>
          </m:sSubPr>
          <m:e>
            <m:r>
              <w:rPr>
                <w:rFonts w:ascii="Cambria Math" w:hAnsi="Cambria Math"/>
              </w:rPr>
              <m:t>l</m:t>
            </m:r>
          </m:e>
          <m:sub>
            <m:r>
              <w:rPr>
                <w:rFonts w:ascii="Cambria Math" w:hAnsi="Cambria Math"/>
              </w:rPr>
              <m:t>-</m:t>
            </m:r>
          </m:sub>
        </m:sSub>
        <m:r>
          <w:rPr>
            <w:rFonts w:ascii="Cambria Math" w:hAnsi="Cambria Math"/>
          </w:rPr>
          <m:t>typ</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oj</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oMath>
      <w:r>
        <w:tab/>
      </w:r>
      <w:r>
        <w:tab/>
      </w:r>
      <w:r>
        <w:tab/>
      </w:r>
      <w:r>
        <w:tab/>
        <w:t>(5)</w:t>
      </w:r>
    </w:p>
    <w:p w14:paraId="29A330BF" w14:textId="77777777" w:rsidR="002E1C2D" w:rsidRDefault="002E1C2D" w:rsidP="002E1C2D">
      <w:pPr>
        <w:pStyle w:val="Paragraphbulleted"/>
        <w:numPr>
          <w:ilvl w:val="0"/>
          <w:numId w:val="0"/>
        </w:numPr>
        <w:ind w:left="644"/>
        <w:jc w:val="right"/>
      </w:pPr>
    </w:p>
    <w:p w14:paraId="7491DC43" w14:textId="77777777" w:rsidR="002E1C2D" w:rsidRDefault="00000000" w:rsidP="002E1C2D">
      <w:pPr>
        <w:pStyle w:val="Paragraphbulleted"/>
        <w:numPr>
          <w:ilvl w:val="0"/>
          <w:numId w:val="0"/>
        </w:numPr>
        <w:ind w:left="1276"/>
      </w:pP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2E1C2D" w:rsidRPr="003A38EA">
        <w:t xml:space="preserve"> = responses (employ, formulate, and interpret)</w:t>
      </w:r>
      <w:r w:rsidR="002E1C2D">
        <w:tab/>
      </w:r>
    </w:p>
    <w:p w14:paraId="1E9DDF2C" w14:textId="77777777" w:rsidR="00A354A9" w:rsidRDefault="00A354A9" w:rsidP="00075EA6">
      <w:pPr>
        <w:pStyle w:val="Paragraph"/>
      </w:pPr>
    </w:p>
    <w:p w14:paraId="6401B72D" w14:textId="38CFED35" w:rsidR="0039376F" w:rsidRPr="00075EA6" w:rsidRDefault="00691330" w:rsidP="00B1000D">
      <w:pPr>
        <w:pStyle w:val="Heading1"/>
        <w:rPr>
          <w:caps w:val="0"/>
          <w:lang w:val="en-GB" w:eastAsia="en-GB"/>
        </w:rPr>
      </w:pPr>
      <w:r>
        <w:t>RESULTS AND DISCUSSION</w:t>
      </w:r>
    </w:p>
    <w:p w14:paraId="2C6C87A7" w14:textId="78F73302" w:rsidR="009E5BA1" w:rsidRPr="00075EA6" w:rsidRDefault="0087284F" w:rsidP="009E5BA1">
      <w:pPr>
        <w:pStyle w:val="Heading2"/>
      </w:pPr>
      <w:r>
        <w:t xml:space="preserve">Descriptive Statistics </w:t>
      </w:r>
      <w:r w:rsidR="004E3C57" w:rsidRPr="00075EA6">
        <w:rPr>
          <w:lang w:val="en-GB" w:eastAsia="en-GB"/>
        </w:rPr>
        <w:t xml:space="preserve"> </w:t>
      </w:r>
    </w:p>
    <w:p w14:paraId="5A9CE97C" w14:textId="27B07897" w:rsidR="004E3C57" w:rsidRDefault="0087284F" w:rsidP="009B7671">
      <w:pPr>
        <w:pStyle w:val="Paragraph"/>
      </w:pPr>
      <w:r>
        <w:t>The descriptive statistics of all plausible values included in this study is shown on table 2.  Table 3 shows the mean of each plausible value from all students who participated in PISA 2012. Thes</w:t>
      </w:r>
      <w:r w:rsidR="002B615D">
        <w:t xml:space="preserve">e values were taken from </w:t>
      </w:r>
      <w:proofErr w:type="spellStart"/>
      <w:r w:rsidR="002B615D">
        <w:t>Alagumalai</w:t>
      </w:r>
      <w:proofErr w:type="spellEnd"/>
      <w:r w:rsidR="002B615D">
        <w:t xml:space="preserve"> study that used mathematics literacy data from all </w:t>
      </w:r>
      <w:r w:rsidR="002B615D" w:rsidRPr="002B615D">
        <w:t>from 65 jurisdictions, including 34 OECD member countries, participated in the 2012cycle of PIS</w:t>
      </w:r>
      <w:r w:rsidR="002B615D">
        <w:t xml:space="preserve">A </w:t>
      </w:r>
      <w:r w:rsidR="002B615D">
        <w:fldChar w:fldCharType="begin" w:fldLock="1"/>
      </w:r>
      <w:r w:rsidR="009C78E0">
        <w:instrText>ADDIN CSL_CITATION {"citationItems":[{"id":"ITEM-1","itemData":{"DOI":"10.1177/00049441211031674","ISSN":"20505884","abstract":"Recent studies reiterate the importance of mathematical literacy and the identification of skills, knowledge and cognitive processes which contribute to composite test scores to facilitate targeted remediation and extension activities. To this end, the current article examines data from the 2012 cycle of the Programme for International Student Assessment (PISA), using multilevel modelling techniques to explore the relationship between selected student-level and teacher/school-level factors and the three processes of interpret, employ and formulate which were measured as the skills underlying mathematical literacy in that assessment. Results of the analyses indicate that boys outperform girls significantly (p &lt; 0.001) in all three processes whereby formulate invokes relatively more inter- and intra-level influences compared with interpret. Apart from the relatively higher item-difficulties of formulate, an increase in the complexity of contextual effects at the student and the teacher/school-level emerges as mathematical processes move from interpret to employ to formulate. Findings also reveal that students taught by teachers who had mathematics as a major in their undergraduate studies and who work in relatively smaller classes or groups show higher performance in all three mathematical literacy processes. Use of ICT in mathematics lessons is negatively associated with the three mathematical literacy processes. The additional negative effect of mathematical extracurricular activities at school on the processes highlights the need to rethink how technology and extracurricular lessons are to be used, designed/structured and delivered to optimise the learning of mathematical processes, and ultimately improve mathematical literacy.","author":[{"dropping-particle":"","family":"Alagumalai","given":"Sivakumar","non-dropping-particle":"","parse-names":false,"suffix":""},{"dropping-particle":"","family":"Buchdahl","given":"Nicholas","non-dropping-particle":"","parse-names":false,"suffix":""}],"container-title":"Australian Journal of Education","id":"ITEM-1","issue":"2","issued":{"date-parts":[["2021"]]},"page":"173-194","title":"PISA 2012: Examining the influence of prior knowledge, time-on-task, school-level effects on achievements in mathematical literacy processes – Interpret, employ and formulate","type":"article-journal","volume":"65"},"uris":["http://www.mendeley.com/documents/?uuid=5620b8fa-6f9f-4425-ae7f-0173256d769c"]}],"mendeley":{"formattedCitation":"[17]","plainTextFormattedCitation":"[17]","previouslyFormattedCitation":"[17]"},"properties":{"noteIndex":0},"schema":"https://github.com/citation-style-language/schema/raw/master/csl-citation.json"}</w:instrText>
      </w:r>
      <w:r w:rsidR="002B615D">
        <w:fldChar w:fldCharType="separate"/>
      </w:r>
      <w:r w:rsidR="002B615D" w:rsidRPr="002B615D">
        <w:rPr>
          <w:noProof/>
        </w:rPr>
        <w:t>[17]</w:t>
      </w:r>
      <w:r w:rsidR="002B615D">
        <w:fldChar w:fldCharType="end"/>
      </w:r>
      <w:r w:rsidR="002B615D">
        <w:t>. So</w:t>
      </w:r>
      <w:r w:rsidR="003A714D">
        <w:t xml:space="preserve">, the mathematics literacy plausible values mean from </w:t>
      </w:r>
      <w:proofErr w:type="spellStart"/>
      <w:r w:rsidR="003A714D">
        <w:t>Alagumalai</w:t>
      </w:r>
      <w:proofErr w:type="spellEnd"/>
      <w:r w:rsidR="003A714D">
        <w:t xml:space="preserve"> can be used as the representative of PISA 2012 mathematics literacy plausible values mean. </w:t>
      </w:r>
    </w:p>
    <w:p w14:paraId="74FD012B" w14:textId="77777777" w:rsidR="003A714D" w:rsidRPr="00075EA6" w:rsidRDefault="003A714D" w:rsidP="009B7671">
      <w:pPr>
        <w:pStyle w:val="Paragraph"/>
      </w:pPr>
    </w:p>
    <w:p w14:paraId="50B60F64" w14:textId="50A33B68" w:rsidR="004E3C57" w:rsidRDefault="003A714D" w:rsidP="003A714D">
      <w:pPr>
        <w:pStyle w:val="Paragraph"/>
        <w:ind w:firstLine="0"/>
        <w:jc w:val="center"/>
      </w:pPr>
      <w:r w:rsidRPr="003A714D">
        <w:rPr>
          <w:b/>
          <w:bCs/>
        </w:rPr>
        <w:t>TABLE 2</w:t>
      </w:r>
      <w:r>
        <w:t>. Descriptive Statistics of Plausible Values of Indonesia Students’ Mathematics Literacy Ability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308"/>
        <w:gridCol w:w="1502"/>
        <w:gridCol w:w="1502"/>
        <w:gridCol w:w="1503"/>
        <w:gridCol w:w="1503"/>
      </w:tblGrid>
      <w:tr w:rsidR="003A714D" w:rsidRPr="003A714D" w14:paraId="2722040C" w14:textId="77777777" w:rsidTr="00BF7A6B">
        <w:trPr>
          <w:trHeight w:val="396"/>
          <w:jc w:val="center"/>
        </w:trPr>
        <w:tc>
          <w:tcPr>
            <w:tcW w:w="1696" w:type="dxa"/>
            <w:tcBorders>
              <w:top w:val="single" w:sz="4" w:space="0" w:color="auto"/>
              <w:bottom w:val="single" w:sz="4" w:space="0" w:color="auto"/>
            </w:tcBorders>
            <w:vAlign w:val="center"/>
          </w:tcPr>
          <w:p w14:paraId="78DA5AF2" w14:textId="77777777" w:rsidR="003A714D" w:rsidRPr="003A714D" w:rsidRDefault="003A714D" w:rsidP="00D123CB">
            <w:pPr>
              <w:jc w:val="center"/>
              <w:rPr>
                <w:b/>
                <w:bCs/>
                <w:sz w:val="18"/>
                <w:szCs w:val="18"/>
              </w:rPr>
            </w:pPr>
            <w:r w:rsidRPr="003A714D">
              <w:rPr>
                <w:b/>
                <w:bCs/>
                <w:sz w:val="18"/>
                <w:szCs w:val="18"/>
              </w:rPr>
              <w:t>Variable name</w:t>
            </w:r>
          </w:p>
        </w:tc>
        <w:tc>
          <w:tcPr>
            <w:tcW w:w="1308" w:type="dxa"/>
            <w:tcBorders>
              <w:top w:val="single" w:sz="4" w:space="0" w:color="auto"/>
              <w:bottom w:val="single" w:sz="4" w:space="0" w:color="auto"/>
            </w:tcBorders>
            <w:vAlign w:val="center"/>
          </w:tcPr>
          <w:p w14:paraId="6BDFF990" w14:textId="77777777" w:rsidR="003A714D" w:rsidRPr="003A714D" w:rsidRDefault="003A714D" w:rsidP="00D123CB">
            <w:pPr>
              <w:jc w:val="center"/>
              <w:rPr>
                <w:b/>
                <w:bCs/>
                <w:sz w:val="18"/>
                <w:szCs w:val="18"/>
              </w:rPr>
            </w:pPr>
            <w:r w:rsidRPr="003A714D">
              <w:rPr>
                <w:b/>
                <w:bCs/>
                <w:sz w:val="18"/>
                <w:szCs w:val="18"/>
              </w:rPr>
              <w:t>N</w:t>
            </w:r>
          </w:p>
        </w:tc>
        <w:tc>
          <w:tcPr>
            <w:tcW w:w="1502" w:type="dxa"/>
            <w:tcBorders>
              <w:top w:val="single" w:sz="4" w:space="0" w:color="auto"/>
              <w:bottom w:val="single" w:sz="4" w:space="0" w:color="auto"/>
            </w:tcBorders>
            <w:vAlign w:val="center"/>
          </w:tcPr>
          <w:p w14:paraId="0A75E8B3" w14:textId="77777777" w:rsidR="003A714D" w:rsidRPr="003A714D" w:rsidRDefault="003A714D" w:rsidP="00D123CB">
            <w:pPr>
              <w:jc w:val="center"/>
              <w:rPr>
                <w:b/>
                <w:bCs/>
                <w:sz w:val="18"/>
                <w:szCs w:val="18"/>
              </w:rPr>
            </w:pPr>
            <w:r w:rsidRPr="003A714D">
              <w:rPr>
                <w:b/>
                <w:bCs/>
                <w:sz w:val="18"/>
                <w:szCs w:val="18"/>
              </w:rPr>
              <w:t>Mean</w:t>
            </w:r>
          </w:p>
        </w:tc>
        <w:tc>
          <w:tcPr>
            <w:tcW w:w="1502" w:type="dxa"/>
            <w:tcBorders>
              <w:top w:val="single" w:sz="4" w:space="0" w:color="auto"/>
              <w:bottom w:val="single" w:sz="4" w:space="0" w:color="auto"/>
            </w:tcBorders>
            <w:vAlign w:val="center"/>
          </w:tcPr>
          <w:p w14:paraId="686CD758" w14:textId="77777777" w:rsidR="003A714D" w:rsidRPr="003A714D" w:rsidRDefault="003A714D" w:rsidP="00D123CB">
            <w:pPr>
              <w:jc w:val="center"/>
              <w:rPr>
                <w:b/>
                <w:bCs/>
                <w:sz w:val="18"/>
                <w:szCs w:val="18"/>
              </w:rPr>
            </w:pPr>
            <w:r w:rsidRPr="003A714D">
              <w:rPr>
                <w:b/>
                <w:bCs/>
                <w:sz w:val="18"/>
                <w:szCs w:val="18"/>
              </w:rPr>
              <w:t>SD</w:t>
            </w:r>
          </w:p>
        </w:tc>
        <w:tc>
          <w:tcPr>
            <w:tcW w:w="1503" w:type="dxa"/>
            <w:tcBorders>
              <w:top w:val="single" w:sz="4" w:space="0" w:color="auto"/>
              <w:bottom w:val="single" w:sz="4" w:space="0" w:color="auto"/>
            </w:tcBorders>
            <w:vAlign w:val="center"/>
          </w:tcPr>
          <w:p w14:paraId="328E2D47" w14:textId="2AA66985" w:rsidR="003A714D" w:rsidRPr="003A714D" w:rsidRDefault="003A714D" w:rsidP="00D123CB">
            <w:pPr>
              <w:jc w:val="center"/>
              <w:rPr>
                <w:b/>
                <w:bCs/>
                <w:sz w:val="18"/>
                <w:szCs w:val="18"/>
              </w:rPr>
            </w:pPr>
            <w:r w:rsidRPr="003A714D">
              <w:rPr>
                <w:b/>
                <w:bCs/>
                <w:sz w:val="18"/>
                <w:szCs w:val="18"/>
              </w:rPr>
              <w:t>Maximu</w:t>
            </w:r>
            <w:r w:rsidR="00BF7A6B">
              <w:rPr>
                <w:b/>
                <w:bCs/>
                <w:sz w:val="18"/>
                <w:szCs w:val="18"/>
              </w:rPr>
              <w:t>m</w:t>
            </w:r>
          </w:p>
        </w:tc>
        <w:tc>
          <w:tcPr>
            <w:tcW w:w="1503" w:type="dxa"/>
            <w:tcBorders>
              <w:top w:val="single" w:sz="4" w:space="0" w:color="auto"/>
              <w:bottom w:val="single" w:sz="4" w:space="0" w:color="auto"/>
            </w:tcBorders>
            <w:vAlign w:val="center"/>
          </w:tcPr>
          <w:p w14:paraId="136BBC43" w14:textId="77777777" w:rsidR="003A714D" w:rsidRPr="003A714D" w:rsidRDefault="003A714D" w:rsidP="00D123CB">
            <w:pPr>
              <w:jc w:val="center"/>
              <w:rPr>
                <w:b/>
                <w:bCs/>
                <w:sz w:val="18"/>
                <w:szCs w:val="18"/>
              </w:rPr>
            </w:pPr>
            <w:r w:rsidRPr="003A714D">
              <w:rPr>
                <w:b/>
                <w:bCs/>
                <w:sz w:val="18"/>
                <w:szCs w:val="18"/>
              </w:rPr>
              <w:t>Minimum</w:t>
            </w:r>
          </w:p>
        </w:tc>
      </w:tr>
      <w:tr w:rsidR="003A714D" w:rsidRPr="003A714D" w14:paraId="61D7D32D" w14:textId="77777777" w:rsidTr="00BF7A6B">
        <w:trPr>
          <w:jc w:val="center"/>
        </w:trPr>
        <w:tc>
          <w:tcPr>
            <w:tcW w:w="1696" w:type="dxa"/>
            <w:tcBorders>
              <w:top w:val="single" w:sz="4" w:space="0" w:color="auto"/>
            </w:tcBorders>
            <w:vAlign w:val="center"/>
          </w:tcPr>
          <w:p w14:paraId="5F02128E" w14:textId="77777777" w:rsidR="003A714D" w:rsidRPr="003A714D" w:rsidRDefault="003A714D" w:rsidP="00D123CB">
            <w:pPr>
              <w:rPr>
                <w:sz w:val="20"/>
              </w:rPr>
            </w:pPr>
            <w:r w:rsidRPr="003A714D">
              <w:rPr>
                <w:sz w:val="20"/>
              </w:rPr>
              <w:t>PV1MAPE</w:t>
            </w:r>
          </w:p>
        </w:tc>
        <w:tc>
          <w:tcPr>
            <w:tcW w:w="1308" w:type="dxa"/>
            <w:tcBorders>
              <w:top w:val="single" w:sz="4" w:space="0" w:color="auto"/>
            </w:tcBorders>
            <w:vAlign w:val="center"/>
          </w:tcPr>
          <w:p w14:paraId="6D8EB563" w14:textId="77777777" w:rsidR="003A714D" w:rsidRPr="003A714D" w:rsidRDefault="003A714D" w:rsidP="00D123CB">
            <w:pPr>
              <w:jc w:val="center"/>
              <w:rPr>
                <w:sz w:val="20"/>
              </w:rPr>
            </w:pPr>
            <w:r w:rsidRPr="003A714D">
              <w:rPr>
                <w:sz w:val="20"/>
              </w:rPr>
              <w:t>3602</w:t>
            </w:r>
          </w:p>
        </w:tc>
        <w:tc>
          <w:tcPr>
            <w:tcW w:w="1502" w:type="dxa"/>
            <w:tcBorders>
              <w:top w:val="single" w:sz="4" w:space="0" w:color="auto"/>
            </w:tcBorders>
            <w:vAlign w:val="center"/>
          </w:tcPr>
          <w:p w14:paraId="16D19512" w14:textId="77777777" w:rsidR="003A714D" w:rsidRPr="003A714D" w:rsidRDefault="003A714D" w:rsidP="00D123CB">
            <w:pPr>
              <w:jc w:val="center"/>
              <w:rPr>
                <w:sz w:val="20"/>
              </w:rPr>
            </w:pPr>
            <w:r w:rsidRPr="003A714D">
              <w:rPr>
                <w:color w:val="000000"/>
                <w:sz w:val="20"/>
              </w:rPr>
              <w:t>371.63</w:t>
            </w:r>
          </w:p>
        </w:tc>
        <w:tc>
          <w:tcPr>
            <w:tcW w:w="1502" w:type="dxa"/>
            <w:tcBorders>
              <w:top w:val="single" w:sz="4" w:space="0" w:color="auto"/>
            </w:tcBorders>
            <w:vAlign w:val="center"/>
          </w:tcPr>
          <w:p w14:paraId="0150A1FE" w14:textId="77777777" w:rsidR="003A714D" w:rsidRPr="003A714D" w:rsidRDefault="003A714D" w:rsidP="00D123CB">
            <w:pPr>
              <w:jc w:val="center"/>
              <w:rPr>
                <w:sz w:val="20"/>
              </w:rPr>
            </w:pPr>
            <w:r w:rsidRPr="003A714D">
              <w:rPr>
                <w:color w:val="000000"/>
                <w:sz w:val="20"/>
              </w:rPr>
              <w:t>72.84</w:t>
            </w:r>
          </w:p>
        </w:tc>
        <w:tc>
          <w:tcPr>
            <w:tcW w:w="1503" w:type="dxa"/>
            <w:tcBorders>
              <w:top w:val="single" w:sz="4" w:space="0" w:color="auto"/>
            </w:tcBorders>
            <w:vAlign w:val="center"/>
          </w:tcPr>
          <w:p w14:paraId="0D634792" w14:textId="77777777" w:rsidR="003A714D" w:rsidRPr="003A714D" w:rsidRDefault="003A714D" w:rsidP="00D123CB">
            <w:pPr>
              <w:jc w:val="center"/>
              <w:rPr>
                <w:sz w:val="20"/>
              </w:rPr>
            </w:pPr>
            <w:r w:rsidRPr="003A714D">
              <w:rPr>
                <w:color w:val="000000"/>
                <w:sz w:val="20"/>
              </w:rPr>
              <w:t>115.45</w:t>
            </w:r>
          </w:p>
        </w:tc>
        <w:tc>
          <w:tcPr>
            <w:tcW w:w="1503" w:type="dxa"/>
            <w:tcBorders>
              <w:top w:val="single" w:sz="4" w:space="0" w:color="auto"/>
            </w:tcBorders>
            <w:vAlign w:val="center"/>
          </w:tcPr>
          <w:p w14:paraId="34BD6BA8" w14:textId="77777777" w:rsidR="003A714D" w:rsidRPr="003A714D" w:rsidRDefault="003A714D" w:rsidP="00D123CB">
            <w:pPr>
              <w:jc w:val="center"/>
              <w:rPr>
                <w:sz w:val="20"/>
              </w:rPr>
            </w:pPr>
            <w:r w:rsidRPr="003A714D">
              <w:rPr>
                <w:color w:val="000000"/>
                <w:sz w:val="20"/>
              </w:rPr>
              <w:t>659.92</w:t>
            </w:r>
          </w:p>
        </w:tc>
      </w:tr>
      <w:tr w:rsidR="003A714D" w:rsidRPr="003A714D" w14:paraId="66CE430A" w14:textId="77777777" w:rsidTr="00BF7A6B">
        <w:trPr>
          <w:jc w:val="center"/>
        </w:trPr>
        <w:tc>
          <w:tcPr>
            <w:tcW w:w="1696" w:type="dxa"/>
            <w:vAlign w:val="center"/>
          </w:tcPr>
          <w:p w14:paraId="2FCD3DF4" w14:textId="77777777" w:rsidR="003A714D" w:rsidRPr="003A714D" w:rsidRDefault="003A714D" w:rsidP="00D123CB">
            <w:pPr>
              <w:rPr>
                <w:sz w:val="20"/>
              </w:rPr>
            </w:pPr>
            <w:r w:rsidRPr="003A714D">
              <w:rPr>
                <w:sz w:val="20"/>
              </w:rPr>
              <w:t xml:space="preserve">PV2MAPE </w:t>
            </w:r>
          </w:p>
        </w:tc>
        <w:tc>
          <w:tcPr>
            <w:tcW w:w="1308" w:type="dxa"/>
            <w:vAlign w:val="center"/>
          </w:tcPr>
          <w:p w14:paraId="6FCE7847" w14:textId="77777777" w:rsidR="003A714D" w:rsidRPr="003A714D" w:rsidRDefault="003A714D" w:rsidP="00D123CB">
            <w:pPr>
              <w:jc w:val="center"/>
              <w:rPr>
                <w:sz w:val="20"/>
              </w:rPr>
            </w:pPr>
            <w:r w:rsidRPr="003A714D">
              <w:rPr>
                <w:sz w:val="20"/>
              </w:rPr>
              <w:t>3602</w:t>
            </w:r>
          </w:p>
        </w:tc>
        <w:tc>
          <w:tcPr>
            <w:tcW w:w="1502" w:type="dxa"/>
            <w:vAlign w:val="center"/>
          </w:tcPr>
          <w:p w14:paraId="5EE9364D" w14:textId="77777777" w:rsidR="003A714D" w:rsidRPr="003A714D" w:rsidRDefault="003A714D" w:rsidP="00D123CB">
            <w:pPr>
              <w:jc w:val="center"/>
              <w:rPr>
                <w:sz w:val="20"/>
              </w:rPr>
            </w:pPr>
            <w:r w:rsidRPr="003A714D">
              <w:rPr>
                <w:color w:val="000000"/>
                <w:sz w:val="20"/>
              </w:rPr>
              <w:t>372.04</w:t>
            </w:r>
          </w:p>
        </w:tc>
        <w:tc>
          <w:tcPr>
            <w:tcW w:w="1502" w:type="dxa"/>
            <w:vAlign w:val="center"/>
          </w:tcPr>
          <w:p w14:paraId="33D50137" w14:textId="77777777" w:rsidR="003A714D" w:rsidRPr="003A714D" w:rsidRDefault="003A714D" w:rsidP="00D123CB">
            <w:pPr>
              <w:jc w:val="center"/>
              <w:rPr>
                <w:sz w:val="20"/>
              </w:rPr>
            </w:pPr>
            <w:r w:rsidRPr="003A714D">
              <w:rPr>
                <w:color w:val="000000"/>
                <w:sz w:val="20"/>
              </w:rPr>
              <w:t>72.8</w:t>
            </w:r>
          </w:p>
        </w:tc>
        <w:tc>
          <w:tcPr>
            <w:tcW w:w="1503" w:type="dxa"/>
            <w:vAlign w:val="center"/>
          </w:tcPr>
          <w:p w14:paraId="0D9C5B46" w14:textId="77777777" w:rsidR="003A714D" w:rsidRPr="003A714D" w:rsidRDefault="003A714D" w:rsidP="00D123CB">
            <w:pPr>
              <w:jc w:val="center"/>
              <w:rPr>
                <w:sz w:val="20"/>
              </w:rPr>
            </w:pPr>
            <w:r w:rsidRPr="003A714D">
              <w:rPr>
                <w:color w:val="000000"/>
                <w:sz w:val="20"/>
              </w:rPr>
              <w:t>150.65</w:t>
            </w:r>
          </w:p>
        </w:tc>
        <w:tc>
          <w:tcPr>
            <w:tcW w:w="1503" w:type="dxa"/>
            <w:vAlign w:val="center"/>
          </w:tcPr>
          <w:p w14:paraId="42663A10" w14:textId="77777777" w:rsidR="003A714D" w:rsidRPr="003A714D" w:rsidRDefault="003A714D" w:rsidP="00D123CB">
            <w:pPr>
              <w:jc w:val="center"/>
              <w:rPr>
                <w:sz w:val="20"/>
              </w:rPr>
            </w:pPr>
            <w:r w:rsidRPr="003A714D">
              <w:rPr>
                <w:color w:val="000000"/>
                <w:sz w:val="20"/>
              </w:rPr>
              <w:t>643.57</w:t>
            </w:r>
          </w:p>
        </w:tc>
      </w:tr>
      <w:tr w:rsidR="003A714D" w:rsidRPr="003A714D" w14:paraId="599EB119" w14:textId="77777777" w:rsidTr="00BF7A6B">
        <w:trPr>
          <w:jc w:val="center"/>
        </w:trPr>
        <w:tc>
          <w:tcPr>
            <w:tcW w:w="1696" w:type="dxa"/>
            <w:vAlign w:val="center"/>
          </w:tcPr>
          <w:p w14:paraId="11EEBE90" w14:textId="77777777" w:rsidR="003A714D" w:rsidRPr="003A714D" w:rsidRDefault="003A714D" w:rsidP="00D123CB">
            <w:pPr>
              <w:rPr>
                <w:sz w:val="20"/>
              </w:rPr>
            </w:pPr>
            <w:r w:rsidRPr="003A714D">
              <w:rPr>
                <w:sz w:val="20"/>
              </w:rPr>
              <w:t>PV3MAPE</w:t>
            </w:r>
          </w:p>
        </w:tc>
        <w:tc>
          <w:tcPr>
            <w:tcW w:w="1308" w:type="dxa"/>
            <w:vAlign w:val="center"/>
          </w:tcPr>
          <w:p w14:paraId="0F114B52" w14:textId="77777777" w:rsidR="003A714D" w:rsidRPr="003A714D" w:rsidRDefault="003A714D" w:rsidP="00D123CB">
            <w:pPr>
              <w:jc w:val="center"/>
              <w:rPr>
                <w:sz w:val="20"/>
              </w:rPr>
            </w:pPr>
            <w:r w:rsidRPr="003A714D">
              <w:rPr>
                <w:sz w:val="20"/>
              </w:rPr>
              <w:t>3602</w:t>
            </w:r>
          </w:p>
        </w:tc>
        <w:tc>
          <w:tcPr>
            <w:tcW w:w="1502" w:type="dxa"/>
            <w:vAlign w:val="center"/>
          </w:tcPr>
          <w:p w14:paraId="25833453" w14:textId="77777777" w:rsidR="003A714D" w:rsidRPr="003A714D" w:rsidRDefault="003A714D" w:rsidP="00D123CB">
            <w:pPr>
              <w:jc w:val="center"/>
              <w:rPr>
                <w:sz w:val="20"/>
              </w:rPr>
            </w:pPr>
            <w:r w:rsidRPr="003A714D">
              <w:rPr>
                <w:color w:val="000000"/>
                <w:sz w:val="20"/>
              </w:rPr>
              <w:t>372.16</w:t>
            </w:r>
          </w:p>
        </w:tc>
        <w:tc>
          <w:tcPr>
            <w:tcW w:w="1502" w:type="dxa"/>
            <w:vAlign w:val="center"/>
          </w:tcPr>
          <w:p w14:paraId="357B1C16" w14:textId="77777777" w:rsidR="003A714D" w:rsidRPr="003A714D" w:rsidRDefault="003A714D" w:rsidP="00D123CB">
            <w:pPr>
              <w:jc w:val="center"/>
              <w:rPr>
                <w:sz w:val="20"/>
              </w:rPr>
            </w:pPr>
            <w:r w:rsidRPr="003A714D">
              <w:rPr>
                <w:color w:val="000000"/>
                <w:sz w:val="20"/>
              </w:rPr>
              <w:t>71.88</w:t>
            </w:r>
          </w:p>
        </w:tc>
        <w:tc>
          <w:tcPr>
            <w:tcW w:w="1503" w:type="dxa"/>
            <w:vAlign w:val="center"/>
          </w:tcPr>
          <w:p w14:paraId="4EF139DB" w14:textId="77777777" w:rsidR="003A714D" w:rsidRPr="003A714D" w:rsidRDefault="003A714D" w:rsidP="00D123CB">
            <w:pPr>
              <w:jc w:val="center"/>
              <w:rPr>
                <w:sz w:val="20"/>
              </w:rPr>
            </w:pPr>
            <w:r w:rsidRPr="003A714D">
              <w:rPr>
                <w:color w:val="000000"/>
                <w:sz w:val="20"/>
              </w:rPr>
              <w:t>138.04</w:t>
            </w:r>
          </w:p>
        </w:tc>
        <w:tc>
          <w:tcPr>
            <w:tcW w:w="1503" w:type="dxa"/>
            <w:vAlign w:val="center"/>
          </w:tcPr>
          <w:p w14:paraId="17455370" w14:textId="77777777" w:rsidR="003A714D" w:rsidRPr="003A714D" w:rsidRDefault="003A714D" w:rsidP="00D123CB">
            <w:pPr>
              <w:jc w:val="center"/>
              <w:rPr>
                <w:sz w:val="20"/>
              </w:rPr>
            </w:pPr>
            <w:r w:rsidRPr="003A714D">
              <w:rPr>
                <w:color w:val="000000"/>
                <w:sz w:val="20"/>
              </w:rPr>
              <w:t>659.92</w:t>
            </w:r>
          </w:p>
        </w:tc>
      </w:tr>
      <w:tr w:rsidR="003A714D" w:rsidRPr="003A714D" w14:paraId="0749CA08" w14:textId="77777777" w:rsidTr="00BF7A6B">
        <w:trPr>
          <w:jc w:val="center"/>
        </w:trPr>
        <w:tc>
          <w:tcPr>
            <w:tcW w:w="1696" w:type="dxa"/>
            <w:vAlign w:val="center"/>
          </w:tcPr>
          <w:p w14:paraId="37FCFBE0" w14:textId="77777777" w:rsidR="003A714D" w:rsidRPr="003A714D" w:rsidRDefault="003A714D" w:rsidP="00D123CB">
            <w:pPr>
              <w:rPr>
                <w:sz w:val="20"/>
              </w:rPr>
            </w:pPr>
            <w:r w:rsidRPr="003A714D">
              <w:rPr>
                <w:sz w:val="20"/>
              </w:rPr>
              <w:t xml:space="preserve">PV4MAPE </w:t>
            </w:r>
          </w:p>
        </w:tc>
        <w:tc>
          <w:tcPr>
            <w:tcW w:w="1308" w:type="dxa"/>
            <w:vAlign w:val="center"/>
          </w:tcPr>
          <w:p w14:paraId="7F579A83" w14:textId="77777777" w:rsidR="003A714D" w:rsidRPr="003A714D" w:rsidRDefault="003A714D" w:rsidP="00D123CB">
            <w:pPr>
              <w:jc w:val="center"/>
              <w:rPr>
                <w:sz w:val="20"/>
              </w:rPr>
            </w:pPr>
            <w:r w:rsidRPr="003A714D">
              <w:rPr>
                <w:sz w:val="20"/>
              </w:rPr>
              <w:t>3602</w:t>
            </w:r>
          </w:p>
        </w:tc>
        <w:tc>
          <w:tcPr>
            <w:tcW w:w="1502" w:type="dxa"/>
            <w:vAlign w:val="center"/>
          </w:tcPr>
          <w:p w14:paraId="5ECF8122" w14:textId="77777777" w:rsidR="003A714D" w:rsidRPr="003A714D" w:rsidRDefault="003A714D" w:rsidP="00D123CB">
            <w:pPr>
              <w:jc w:val="center"/>
              <w:rPr>
                <w:sz w:val="20"/>
              </w:rPr>
            </w:pPr>
            <w:r w:rsidRPr="003A714D">
              <w:rPr>
                <w:color w:val="000000"/>
                <w:sz w:val="20"/>
              </w:rPr>
              <w:t>372.17</w:t>
            </w:r>
          </w:p>
        </w:tc>
        <w:tc>
          <w:tcPr>
            <w:tcW w:w="1502" w:type="dxa"/>
            <w:vAlign w:val="center"/>
          </w:tcPr>
          <w:p w14:paraId="5999E4C5" w14:textId="77777777" w:rsidR="003A714D" w:rsidRPr="003A714D" w:rsidRDefault="003A714D" w:rsidP="00D123CB">
            <w:pPr>
              <w:jc w:val="center"/>
              <w:rPr>
                <w:sz w:val="20"/>
              </w:rPr>
            </w:pPr>
            <w:r w:rsidRPr="003A714D">
              <w:rPr>
                <w:color w:val="000000"/>
                <w:sz w:val="20"/>
              </w:rPr>
              <w:t>72.18</w:t>
            </w:r>
          </w:p>
        </w:tc>
        <w:tc>
          <w:tcPr>
            <w:tcW w:w="1503" w:type="dxa"/>
            <w:vAlign w:val="center"/>
          </w:tcPr>
          <w:p w14:paraId="7FEA3739" w14:textId="77777777" w:rsidR="003A714D" w:rsidRPr="003A714D" w:rsidRDefault="003A714D" w:rsidP="00D123CB">
            <w:pPr>
              <w:jc w:val="center"/>
              <w:rPr>
                <w:sz w:val="20"/>
              </w:rPr>
            </w:pPr>
            <w:r w:rsidRPr="003A714D">
              <w:rPr>
                <w:color w:val="000000"/>
                <w:sz w:val="20"/>
              </w:rPr>
              <w:t>141.62</w:t>
            </w:r>
          </w:p>
        </w:tc>
        <w:tc>
          <w:tcPr>
            <w:tcW w:w="1503" w:type="dxa"/>
            <w:vAlign w:val="center"/>
          </w:tcPr>
          <w:p w14:paraId="575587DB" w14:textId="77777777" w:rsidR="003A714D" w:rsidRPr="003A714D" w:rsidRDefault="003A714D" w:rsidP="00D123CB">
            <w:pPr>
              <w:jc w:val="center"/>
              <w:rPr>
                <w:sz w:val="20"/>
              </w:rPr>
            </w:pPr>
            <w:r w:rsidRPr="003A714D">
              <w:rPr>
                <w:color w:val="000000"/>
                <w:sz w:val="20"/>
              </w:rPr>
              <w:t>667.71</w:t>
            </w:r>
          </w:p>
        </w:tc>
      </w:tr>
      <w:tr w:rsidR="003A714D" w:rsidRPr="003A714D" w14:paraId="0D5097A1" w14:textId="77777777" w:rsidTr="00BF7A6B">
        <w:trPr>
          <w:jc w:val="center"/>
        </w:trPr>
        <w:tc>
          <w:tcPr>
            <w:tcW w:w="1696" w:type="dxa"/>
            <w:vAlign w:val="center"/>
          </w:tcPr>
          <w:p w14:paraId="34D856D8" w14:textId="77777777" w:rsidR="003A714D" w:rsidRPr="003A714D" w:rsidRDefault="003A714D" w:rsidP="00D123CB">
            <w:pPr>
              <w:rPr>
                <w:sz w:val="20"/>
              </w:rPr>
            </w:pPr>
            <w:r w:rsidRPr="003A714D">
              <w:rPr>
                <w:sz w:val="20"/>
              </w:rPr>
              <w:t>PV5MAPE</w:t>
            </w:r>
          </w:p>
        </w:tc>
        <w:tc>
          <w:tcPr>
            <w:tcW w:w="1308" w:type="dxa"/>
            <w:vAlign w:val="center"/>
          </w:tcPr>
          <w:p w14:paraId="6A887050" w14:textId="77777777" w:rsidR="003A714D" w:rsidRPr="003A714D" w:rsidRDefault="003A714D" w:rsidP="00D123CB">
            <w:pPr>
              <w:jc w:val="center"/>
              <w:rPr>
                <w:sz w:val="20"/>
              </w:rPr>
            </w:pPr>
            <w:r w:rsidRPr="003A714D">
              <w:rPr>
                <w:sz w:val="20"/>
              </w:rPr>
              <w:t>3602</w:t>
            </w:r>
          </w:p>
        </w:tc>
        <w:tc>
          <w:tcPr>
            <w:tcW w:w="1502" w:type="dxa"/>
            <w:vAlign w:val="center"/>
          </w:tcPr>
          <w:p w14:paraId="0F4990B8" w14:textId="77777777" w:rsidR="003A714D" w:rsidRPr="003A714D" w:rsidRDefault="003A714D" w:rsidP="00D123CB">
            <w:pPr>
              <w:jc w:val="center"/>
              <w:rPr>
                <w:sz w:val="20"/>
              </w:rPr>
            </w:pPr>
            <w:r w:rsidRPr="003A714D">
              <w:rPr>
                <w:color w:val="000000"/>
                <w:sz w:val="20"/>
              </w:rPr>
              <w:t>372.23</w:t>
            </w:r>
          </w:p>
        </w:tc>
        <w:tc>
          <w:tcPr>
            <w:tcW w:w="1502" w:type="dxa"/>
            <w:vAlign w:val="center"/>
          </w:tcPr>
          <w:p w14:paraId="1441ACA7" w14:textId="77777777" w:rsidR="003A714D" w:rsidRPr="003A714D" w:rsidRDefault="003A714D" w:rsidP="00D123CB">
            <w:pPr>
              <w:jc w:val="center"/>
              <w:rPr>
                <w:sz w:val="20"/>
              </w:rPr>
            </w:pPr>
            <w:r w:rsidRPr="003A714D">
              <w:rPr>
                <w:color w:val="000000"/>
                <w:sz w:val="20"/>
              </w:rPr>
              <w:t>71.68</w:t>
            </w:r>
          </w:p>
        </w:tc>
        <w:tc>
          <w:tcPr>
            <w:tcW w:w="1503" w:type="dxa"/>
            <w:vAlign w:val="center"/>
          </w:tcPr>
          <w:p w14:paraId="368932EC" w14:textId="77777777" w:rsidR="003A714D" w:rsidRPr="003A714D" w:rsidRDefault="003A714D" w:rsidP="00D123CB">
            <w:pPr>
              <w:jc w:val="center"/>
              <w:rPr>
                <w:sz w:val="20"/>
              </w:rPr>
            </w:pPr>
            <w:r w:rsidRPr="003A714D">
              <w:rPr>
                <w:color w:val="000000"/>
                <w:sz w:val="20"/>
              </w:rPr>
              <w:t>136.48</w:t>
            </w:r>
          </w:p>
        </w:tc>
        <w:tc>
          <w:tcPr>
            <w:tcW w:w="1503" w:type="dxa"/>
            <w:vAlign w:val="center"/>
          </w:tcPr>
          <w:p w14:paraId="487360AD" w14:textId="77777777" w:rsidR="003A714D" w:rsidRPr="003A714D" w:rsidRDefault="003A714D" w:rsidP="00D123CB">
            <w:pPr>
              <w:jc w:val="center"/>
              <w:rPr>
                <w:sz w:val="20"/>
              </w:rPr>
            </w:pPr>
            <w:r w:rsidRPr="003A714D">
              <w:rPr>
                <w:color w:val="000000"/>
                <w:sz w:val="20"/>
              </w:rPr>
              <w:t>643.57</w:t>
            </w:r>
          </w:p>
        </w:tc>
      </w:tr>
      <w:tr w:rsidR="003A714D" w:rsidRPr="003A714D" w14:paraId="6DB2442B" w14:textId="77777777" w:rsidTr="00BF7A6B">
        <w:trPr>
          <w:jc w:val="center"/>
        </w:trPr>
        <w:tc>
          <w:tcPr>
            <w:tcW w:w="1696" w:type="dxa"/>
            <w:vAlign w:val="center"/>
          </w:tcPr>
          <w:p w14:paraId="67D5B99A" w14:textId="77777777" w:rsidR="003A714D" w:rsidRPr="003A714D" w:rsidRDefault="003A714D" w:rsidP="00D123CB">
            <w:pPr>
              <w:rPr>
                <w:sz w:val="20"/>
              </w:rPr>
            </w:pPr>
            <w:r w:rsidRPr="003A714D">
              <w:rPr>
                <w:sz w:val="20"/>
              </w:rPr>
              <w:t>PV1MAPF</w:t>
            </w:r>
          </w:p>
        </w:tc>
        <w:tc>
          <w:tcPr>
            <w:tcW w:w="1308" w:type="dxa"/>
            <w:vAlign w:val="center"/>
          </w:tcPr>
          <w:p w14:paraId="0D3E390B" w14:textId="77777777" w:rsidR="003A714D" w:rsidRPr="003A714D" w:rsidRDefault="003A714D" w:rsidP="00D123CB">
            <w:pPr>
              <w:jc w:val="center"/>
              <w:rPr>
                <w:sz w:val="20"/>
              </w:rPr>
            </w:pPr>
            <w:r w:rsidRPr="003A714D">
              <w:rPr>
                <w:sz w:val="20"/>
              </w:rPr>
              <w:t>3602</w:t>
            </w:r>
          </w:p>
        </w:tc>
        <w:tc>
          <w:tcPr>
            <w:tcW w:w="1502" w:type="dxa"/>
            <w:vAlign w:val="center"/>
          </w:tcPr>
          <w:p w14:paraId="271F0449" w14:textId="77777777" w:rsidR="003A714D" w:rsidRPr="003A714D" w:rsidRDefault="003A714D" w:rsidP="00D123CB">
            <w:pPr>
              <w:jc w:val="center"/>
              <w:rPr>
                <w:sz w:val="20"/>
              </w:rPr>
            </w:pPr>
            <w:r w:rsidRPr="003A714D">
              <w:rPr>
                <w:color w:val="000000"/>
                <w:sz w:val="20"/>
              </w:rPr>
              <w:t>372.75</w:t>
            </w:r>
          </w:p>
        </w:tc>
        <w:tc>
          <w:tcPr>
            <w:tcW w:w="1502" w:type="dxa"/>
            <w:vAlign w:val="center"/>
          </w:tcPr>
          <w:p w14:paraId="6BF41B37" w14:textId="77777777" w:rsidR="003A714D" w:rsidRPr="003A714D" w:rsidRDefault="003A714D" w:rsidP="00D123CB">
            <w:pPr>
              <w:jc w:val="center"/>
              <w:rPr>
                <w:sz w:val="20"/>
              </w:rPr>
            </w:pPr>
            <w:r w:rsidRPr="003A714D">
              <w:rPr>
                <w:color w:val="000000"/>
                <w:sz w:val="20"/>
              </w:rPr>
              <w:t>83.81</w:t>
            </w:r>
          </w:p>
        </w:tc>
        <w:tc>
          <w:tcPr>
            <w:tcW w:w="1503" w:type="dxa"/>
            <w:vAlign w:val="center"/>
          </w:tcPr>
          <w:p w14:paraId="0EC4FDC0" w14:textId="77777777" w:rsidR="003A714D" w:rsidRPr="003A714D" w:rsidRDefault="003A714D" w:rsidP="00D123CB">
            <w:pPr>
              <w:jc w:val="center"/>
              <w:rPr>
                <w:sz w:val="20"/>
              </w:rPr>
            </w:pPr>
            <w:r w:rsidRPr="003A714D">
              <w:rPr>
                <w:color w:val="000000"/>
                <w:sz w:val="20"/>
              </w:rPr>
              <w:t>93.56</w:t>
            </w:r>
          </w:p>
        </w:tc>
        <w:tc>
          <w:tcPr>
            <w:tcW w:w="1503" w:type="dxa"/>
            <w:vAlign w:val="center"/>
          </w:tcPr>
          <w:p w14:paraId="36477077" w14:textId="77777777" w:rsidR="003A714D" w:rsidRPr="003A714D" w:rsidRDefault="003A714D" w:rsidP="00D123CB">
            <w:pPr>
              <w:jc w:val="center"/>
              <w:rPr>
                <w:sz w:val="20"/>
              </w:rPr>
            </w:pPr>
            <w:r w:rsidRPr="003A714D">
              <w:rPr>
                <w:color w:val="000000"/>
                <w:sz w:val="20"/>
              </w:rPr>
              <w:t>738.83</w:t>
            </w:r>
          </w:p>
        </w:tc>
      </w:tr>
      <w:tr w:rsidR="003A714D" w:rsidRPr="003A714D" w14:paraId="5BF422C3" w14:textId="77777777" w:rsidTr="00BF7A6B">
        <w:trPr>
          <w:jc w:val="center"/>
        </w:trPr>
        <w:tc>
          <w:tcPr>
            <w:tcW w:w="1696" w:type="dxa"/>
            <w:vAlign w:val="center"/>
          </w:tcPr>
          <w:p w14:paraId="6AEE15A3" w14:textId="77777777" w:rsidR="003A714D" w:rsidRPr="003A714D" w:rsidRDefault="003A714D" w:rsidP="00D123CB">
            <w:pPr>
              <w:rPr>
                <w:sz w:val="20"/>
              </w:rPr>
            </w:pPr>
            <w:r w:rsidRPr="003A714D">
              <w:rPr>
                <w:sz w:val="20"/>
              </w:rPr>
              <w:t xml:space="preserve">PV2MAPF </w:t>
            </w:r>
          </w:p>
        </w:tc>
        <w:tc>
          <w:tcPr>
            <w:tcW w:w="1308" w:type="dxa"/>
            <w:vAlign w:val="center"/>
          </w:tcPr>
          <w:p w14:paraId="4AC0FD55" w14:textId="77777777" w:rsidR="003A714D" w:rsidRPr="003A714D" w:rsidRDefault="003A714D" w:rsidP="00D123CB">
            <w:pPr>
              <w:jc w:val="center"/>
              <w:rPr>
                <w:sz w:val="20"/>
              </w:rPr>
            </w:pPr>
            <w:r w:rsidRPr="003A714D">
              <w:rPr>
                <w:sz w:val="20"/>
              </w:rPr>
              <w:t>3602</w:t>
            </w:r>
          </w:p>
        </w:tc>
        <w:tc>
          <w:tcPr>
            <w:tcW w:w="1502" w:type="dxa"/>
            <w:vAlign w:val="center"/>
          </w:tcPr>
          <w:p w14:paraId="68C38E1A" w14:textId="77777777" w:rsidR="003A714D" w:rsidRPr="003A714D" w:rsidRDefault="003A714D" w:rsidP="00D123CB">
            <w:pPr>
              <w:jc w:val="center"/>
              <w:rPr>
                <w:sz w:val="20"/>
              </w:rPr>
            </w:pPr>
            <w:r w:rsidRPr="003A714D">
              <w:rPr>
                <w:color w:val="000000"/>
                <w:sz w:val="20"/>
              </w:rPr>
              <w:t>373.47</w:t>
            </w:r>
          </w:p>
        </w:tc>
        <w:tc>
          <w:tcPr>
            <w:tcW w:w="1502" w:type="dxa"/>
            <w:vAlign w:val="center"/>
          </w:tcPr>
          <w:p w14:paraId="312F6EB0" w14:textId="77777777" w:rsidR="003A714D" w:rsidRPr="003A714D" w:rsidRDefault="003A714D" w:rsidP="00D123CB">
            <w:pPr>
              <w:jc w:val="center"/>
              <w:rPr>
                <w:sz w:val="20"/>
              </w:rPr>
            </w:pPr>
            <w:r w:rsidRPr="003A714D">
              <w:rPr>
                <w:color w:val="000000"/>
                <w:sz w:val="20"/>
              </w:rPr>
              <w:t>83.83</w:t>
            </w:r>
          </w:p>
        </w:tc>
        <w:tc>
          <w:tcPr>
            <w:tcW w:w="1503" w:type="dxa"/>
            <w:vAlign w:val="center"/>
          </w:tcPr>
          <w:p w14:paraId="03B6175B" w14:textId="77777777" w:rsidR="003A714D" w:rsidRPr="003A714D" w:rsidRDefault="003A714D" w:rsidP="00D123CB">
            <w:pPr>
              <w:jc w:val="center"/>
              <w:rPr>
                <w:sz w:val="20"/>
              </w:rPr>
            </w:pPr>
            <w:r w:rsidRPr="003A714D">
              <w:rPr>
                <w:color w:val="000000"/>
                <w:sz w:val="20"/>
              </w:rPr>
              <w:t>94.42</w:t>
            </w:r>
          </w:p>
        </w:tc>
        <w:tc>
          <w:tcPr>
            <w:tcW w:w="1503" w:type="dxa"/>
            <w:vAlign w:val="center"/>
          </w:tcPr>
          <w:p w14:paraId="7BAAA11F" w14:textId="77777777" w:rsidR="003A714D" w:rsidRPr="003A714D" w:rsidRDefault="003A714D" w:rsidP="00D123CB">
            <w:pPr>
              <w:jc w:val="center"/>
              <w:rPr>
                <w:sz w:val="20"/>
              </w:rPr>
            </w:pPr>
            <w:r w:rsidRPr="003A714D">
              <w:rPr>
                <w:color w:val="000000"/>
                <w:sz w:val="20"/>
              </w:rPr>
              <w:t>661.48</w:t>
            </w:r>
          </w:p>
        </w:tc>
      </w:tr>
      <w:tr w:rsidR="003A714D" w:rsidRPr="003A714D" w14:paraId="2D6D2E04" w14:textId="77777777" w:rsidTr="00BF7A6B">
        <w:trPr>
          <w:jc w:val="center"/>
        </w:trPr>
        <w:tc>
          <w:tcPr>
            <w:tcW w:w="1696" w:type="dxa"/>
            <w:vAlign w:val="center"/>
          </w:tcPr>
          <w:p w14:paraId="3FE68076" w14:textId="77777777" w:rsidR="003A714D" w:rsidRPr="003A714D" w:rsidRDefault="003A714D" w:rsidP="00D123CB">
            <w:pPr>
              <w:rPr>
                <w:sz w:val="20"/>
              </w:rPr>
            </w:pPr>
            <w:r w:rsidRPr="003A714D">
              <w:rPr>
                <w:sz w:val="20"/>
              </w:rPr>
              <w:t>PV3MAPF</w:t>
            </w:r>
          </w:p>
        </w:tc>
        <w:tc>
          <w:tcPr>
            <w:tcW w:w="1308" w:type="dxa"/>
            <w:vAlign w:val="center"/>
          </w:tcPr>
          <w:p w14:paraId="08DAFEBF" w14:textId="77777777" w:rsidR="003A714D" w:rsidRPr="003A714D" w:rsidRDefault="003A714D" w:rsidP="00D123CB">
            <w:pPr>
              <w:jc w:val="center"/>
              <w:rPr>
                <w:sz w:val="20"/>
              </w:rPr>
            </w:pPr>
            <w:r w:rsidRPr="003A714D">
              <w:rPr>
                <w:sz w:val="20"/>
              </w:rPr>
              <w:t>3602</w:t>
            </w:r>
          </w:p>
        </w:tc>
        <w:tc>
          <w:tcPr>
            <w:tcW w:w="1502" w:type="dxa"/>
            <w:vAlign w:val="center"/>
          </w:tcPr>
          <w:p w14:paraId="546B8AA0" w14:textId="77777777" w:rsidR="003A714D" w:rsidRPr="003A714D" w:rsidRDefault="003A714D" w:rsidP="00D123CB">
            <w:pPr>
              <w:jc w:val="center"/>
              <w:rPr>
                <w:sz w:val="20"/>
              </w:rPr>
            </w:pPr>
            <w:r w:rsidRPr="003A714D">
              <w:rPr>
                <w:color w:val="000000"/>
                <w:sz w:val="20"/>
              </w:rPr>
              <w:t>373.06</w:t>
            </w:r>
          </w:p>
        </w:tc>
        <w:tc>
          <w:tcPr>
            <w:tcW w:w="1502" w:type="dxa"/>
            <w:vAlign w:val="center"/>
          </w:tcPr>
          <w:p w14:paraId="3CB20088" w14:textId="77777777" w:rsidR="003A714D" w:rsidRPr="003A714D" w:rsidRDefault="003A714D" w:rsidP="00D123CB">
            <w:pPr>
              <w:jc w:val="center"/>
              <w:rPr>
                <w:sz w:val="20"/>
              </w:rPr>
            </w:pPr>
            <w:r w:rsidRPr="003A714D">
              <w:rPr>
                <w:color w:val="000000"/>
                <w:sz w:val="20"/>
              </w:rPr>
              <w:t>83.03</w:t>
            </w:r>
          </w:p>
        </w:tc>
        <w:tc>
          <w:tcPr>
            <w:tcW w:w="1503" w:type="dxa"/>
            <w:vAlign w:val="center"/>
          </w:tcPr>
          <w:p w14:paraId="13CB242C" w14:textId="77777777" w:rsidR="003A714D" w:rsidRPr="003A714D" w:rsidRDefault="003A714D" w:rsidP="00D123CB">
            <w:pPr>
              <w:jc w:val="center"/>
              <w:rPr>
                <w:sz w:val="20"/>
              </w:rPr>
            </w:pPr>
            <w:r w:rsidRPr="003A714D">
              <w:rPr>
                <w:color w:val="000000"/>
                <w:sz w:val="20"/>
              </w:rPr>
              <w:t>107.73</w:t>
            </w:r>
          </w:p>
        </w:tc>
        <w:tc>
          <w:tcPr>
            <w:tcW w:w="1503" w:type="dxa"/>
            <w:vAlign w:val="center"/>
          </w:tcPr>
          <w:p w14:paraId="73375963" w14:textId="77777777" w:rsidR="003A714D" w:rsidRPr="003A714D" w:rsidRDefault="003A714D" w:rsidP="00D123CB">
            <w:pPr>
              <w:jc w:val="center"/>
              <w:rPr>
                <w:sz w:val="20"/>
              </w:rPr>
            </w:pPr>
            <w:r w:rsidRPr="003A714D">
              <w:rPr>
                <w:color w:val="000000"/>
                <w:sz w:val="20"/>
              </w:rPr>
              <w:t>685.63</w:t>
            </w:r>
          </w:p>
        </w:tc>
      </w:tr>
      <w:tr w:rsidR="003A714D" w:rsidRPr="003A714D" w14:paraId="5C1F682A" w14:textId="77777777" w:rsidTr="00BF7A6B">
        <w:trPr>
          <w:jc w:val="center"/>
        </w:trPr>
        <w:tc>
          <w:tcPr>
            <w:tcW w:w="1696" w:type="dxa"/>
            <w:vAlign w:val="center"/>
          </w:tcPr>
          <w:p w14:paraId="508B1D74" w14:textId="77777777" w:rsidR="003A714D" w:rsidRPr="003A714D" w:rsidRDefault="003A714D" w:rsidP="00D123CB">
            <w:pPr>
              <w:rPr>
                <w:sz w:val="20"/>
              </w:rPr>
            </w:pPr>
            <w:r w:rsidRPr="003A714D">
              <w:rPr>
                <w:sz w:val="20"/>
              </w:rPr>
              <w:t xml:space="preserve">PV4MAPF </w:t>
            </w:r>
          </w:p>
        </w:tc>
        <w:tc>
          <w:tcPr>
            <w:tcW w:w="1308" w:type="dxa"/>
            <w:vAlign w:val="center"/>
          </w:tcPr>
          <w:p w14:paraId="03F5C85B" w14:textId="77777777" w:rsidR="003A714D" w:rsidRPr="003A714D" w:rsidRDefault="003A714D" w:rsidP="00D123CB">
            <w:pPr>
              <w:jc w:val="center"/>
              <w:rPr>
                <w:sz w:val="20"/>
              </w:rPr>
            </w:pPr>
            <w:r w:rsidRPr="003A714D">
              <w:rPr>
                <w:sz w:val="20"/>
              </w:rPr>
              <w:t>3602</w:t>
            </w:r>
          </w:p>
        </w:tc>
        <w:tc>
          <w:tcPr>
            <w:tcW w:w="1502" w:type="dxa"/>
            <w:vAlign w:val="center"/>
          </w:tcPr>
          <w:p w14:paraId="0713FD0A" w14:textId="77777777" w:rsidR="003A714D" w:rsidRPr="003A714D" w:rsidRDefault="003A714D" w:rsidP="00D123CB">
            <w:pPr>
              <w:jc w:val="center"/>
              <w:rPr>
                <w:sz w:val="20"/>
              </w:rPr>
            </w:pPr>
            <w:r w:rsidRPr="003A714D">
              <w:rPr>
                <w:color w:val="000000"/>
                <w:sz w:val="20"/>
              </w:rPr>
              <w:t>373.5</w:t>
            </w:r>
          </w:p>
        </w:tc>
        <w:tc>
          <w:tcPr>
            <w:tcW w:w="1502" w:type="dxa"/>
            <w:vAlign w:val="center"/>
          </w:tcPr>
          <w:p w14:paraId="24DF2208" w14:textId="77777777" w:rsidR="003A714D" w:rsidRPr="003A714D" w:rsidRDefault="003A714D" w:rsidP="00D123CB">
            <w:pPr>
              <w:jc w:val="center"/>
              <w:rPr>
                <w:sz w:val="20"/>
              </w:rPr>
            </w:pPr>
            <w:r w:rsidRPr="003A714D">
              <w:rPr>
                <w:color w:val="000000"/>
                <w:sz w:val="20"/>
              </w:rPr>
              <w:t>83.23</w:t>
            </w:r>
          </w:p>
        </w:tc>
        <w:tc>
          <w:tcPr>
            <w:tcW w:w="1503" w:type="dxa"/>
            <w:vAlign w:val="center"/>
          </w:tcPr>
          <w:p w14:paraId="1F2945A1" w14:textId="77777777" w:rsidR="003A714D" w:rsidRPr="003A714D" w:rsidRDefault="003A714D" w:rsidP="00D123CB">
            <w:pPr>
              <w:jc w:val="center"/>
              <w:rPr>
                <w:sz w:val="20"/>
              </w:rPr>
            </w:pPr>
            <w:r w:rsidRPr="003A714D">
              <w:rPr>
                <w:color w:val="000000"/>
                <w:sz w:val="20"/>
              </w:rPr>
              <w:t>87.87</w:t>
            </w:r>
          </w:p>
        </w:tc>
        <w:tc>
          <w:tcPr>
            <w:tcW w:w="1503" w:type="dxa"/>
            <w:vAlign w:val="center"/>
          </w:tcPr>
          <w:p w14:paraId="0D60F839" w14:textId="77777777" w:rsidR="003A714D" w:rsidRPr="003A714D" w:rsidRDefault="003A714D" w:rsidP="00D123CB">
            <w:pPr>
              <w:jc w:val="center"/>
              <w:rPr>
                <w:sz w:val="20"/>
              </w:rPr>
            </w:pPr>
            <w:r w:rsidRPr="003A714D">
              <w:rPr>
                <w:color w:val="000000"/>
                <w:sz w:val="20"/>
              </w:rPr>
              <w:t>710.79</w:t>
            </w:r>
          </w:p>
        </w:tc>
      </w:tr>
      <w:tr w:rsidR="003A714D" w:rsidRPr="003A714D" w14:paraId="7F962790" w14:textId="77777777" w:rsidTr="00BF7A6B">
        <w:trPr>
          <w:jc w:val="center"/>
        </w:trPr>
        <w:tc>
          <w:tcPr>
            <w:tcW w:w="1696" w:type="dxa"/>
            <w:vAlign w:val="center"/>
          </w:tcPr>
          <w:p w14:paraId="3BEBFBB5" w14:textId="77777777" w:rsidR="003A714D" w:rsidRPr="003A714D" w:rsidRDefault="003A714D" w:rsidP="00D123CB">
            <w:pPr>
              <w:rPr>
                <w:sz w:val="20"/>
              </w:rPr>
            </w:pPr>
            <w:r w:rsidRPr="003A714D">
              <w:rPr>
                <w:sz w:val="20"/>
              </w:rPr>
              <w:t>PV5MAPF</w:t>
            </w:r>
          </w:p>
        </w:tc>
        <w:tc>
          <w:tcPr>
            <w:tcW w:w="1308" w:type="dxa"/>
            <w:vAlign w:val="center"/>
          </w:tcPr>
          <w:p w14:paraId="67243089" w14:textId="77777777" w:rsidR="003A714D" w:rsidRPr="003A714D" w:rsidRDefault="003A714D" w:rsidP="00D123CB">
            <w:pPr>
              <w:jc w:val="center"/>
              <w:rPr>
                <w:sz w:val="20"/>
              </w:rPr>
            </w:pPr>
            <w:r w:rsidRPr="003A714D">
              <w:rPr>
                <w:sz w:val="20"/>
              </w:rPr>
              <w:t>3602</w:t>
            </w:r>
          </w:p>
        </w:tc>
        <w:tc>
          <w:tcPr>
            <w:tcW w:w="1502" w:type="dxa"/>
            <w:vAlign w:val="center"/>
          </w:tcPr>
          <w:p w14:paraId="7266D32E" w14:textId="77777777" w:rsidR="003A714D" w:rsidRPr="003A714D" w:rsidRDefault="003A714D" w:rsidP="00D123CB">
            <w:pPr>
              <w:jc w:val="center"/>
              <w:rPr>
                <w:sz w:val="20"/>
              </w:rPr>
            </w:pPr>
            <w:r w:rsidRPr="003A714D">
              <w:rPr>
                <w:color w:val="000000"/>
                <w:sz w:val="20"/>
              </w:rPr>
              <w:t>373.22</w:t>
            </w:r>
          </w:p>
        </w:tc>
        <w:tc>
          <w:tcPr>
            <w:tcW w:w="1502" w:type="dxa"/>
            <w:vAlign w:val="center"/>
          </w:tcPr>
          <w:p w14:paraId="6DC07CA0" w14:textId="77777777" w:rsidR="003A714D" w:rsidRPr="003A714D" w:rsidRDefault="003A714D" w:rsidP="00D123CB">
            <w:pPr>
              <w:jc w:val="center"/>
              <w:rPr>
                <w:sz w:val="20"/>
              </w:rPr>
            </w:pPr>
            <w:r w:rsidRPr="003A714D">
              <w:rPr>
                <w:color w:val="000000"/>
                <w:sz w:val="20"/>
              </w:rPr>
              <w:t>83.35</w:t>
            </w:r>
          </w:p>
        </w:tc>
        <w:tc>
          <w:tcPr>
            <w:tcW w:w="1503" w:type="dxa"/>
            <w:vAlign w:val="center"/>
          </w:tcPr>
          <w:p w14:paraId="0C79FC24" w14:textId="77777777" w:rsidR="003A714D" w:rsidRPr="003A714D" w:rsidRDefault="003A714D" w:rsidP="00D123CB">
            <w:pPr>
              <w:jc w:val="center"/>
              <w:rPr>
                <w:sz w:val="20"/>
              </w:rPr>
            </w:pPr>
            <w:r w:rsidRPr="003A714D">
              <w:rPr>
                <w:color w:val="000000"/>
                <w:sz w:val="20"/>
              </w:rPr>
              <w:t>58.58</w:t>
            </w:r>
          </w:p>
        </w:tc>
        <w:tc>
          <w:tcPr>
            <w:tcW w:w="1503" w:type="dxa"/>
            <w:vAlign w:val="center"/>
          </w:tcPr>
          <w:p w14:paraId="3ECAA7DA" w14:textId="77777777" w:rsidR="003A714D" w:rsidRPr="003A714D" w:rsidRDefault="003A714D" w:rsidP="00D123CB">
            <w:pPr>
              <w:jc w:val="center"/>
              <w:rPr>
                <w:sz w:val="20"/>
              </w:rPr>
            </w:pPr>
            <w:r w:rsidRPr="003A714D">
              <w:rPr>
                <w:color w:val="000000"/>
                <w:sz w:val="20"/>
              </w:rPr>
              <w:t>675.74</w:t>
            </w:r>
          </w:p>
        </w:tc>
      </w:tr>
      <w:tr w:rsidR="003A714D" w:rsidRPr="003A714D" w14:paraId="460FD3BD" w14:textId="77777777" w:rsidTr="00BF7A6B">
        <w:trPr>
          <w:jc w:val="center"/>
        </w:trPr>
        <w:tc>
          <w:tcPr>
            <w:tcW w:w="1696" w:type="dxa"/>
            <w:vAlign w:val="center"/>
          </w:tcPr>
          <w:p w14:paraId="3E78C98E" w14:textId="77777777" w:rsidR="003A714D" w:rsidRPr="003A714D" w:rsidRDefault="003A714D" w:rsidP="00D123CB">
            <w:pPr>
              <w:rPr>
                <w:sz w:val="20"/>
              </w:rPr>
            </w:pPr>
            <w:r w:rsidRPr="003A714D">
              <w:rPr>
                <w:sz w:val="20"/>
              </w:rPr>
              <w:t>PV1MAPI</w:t>
            </w:r>
          </w:p>
        </w:tc>
        <w:tc>
          <w:tcPr>
            <w:tcW w:w="1308" w:type="dxa"/>
            <w:vAlign w:val="center"/>
          </w:tcPr>
          <w:p w14:paraId="3AD92B5F" w14:textId="77777777" w:rsidR="003A714D" w:rsidRPr="003A714D" w:rsidRDefault="003A714D" w:rsidP="00D123CB">
            <w:pPr>
              <w:jc w:val="center"/>
              <w:rPr>
                <w:sz w:val="20"/>
              </w:rPr>
            </w:pPr>
            <w:r w:rsidRPr="003A714D">
              <w:rPr>
                <w:sz w:val="20"/>
              </w:rPr>
              <w:t>3602</w:t>
            </w:r>
          </w:p>
        </w:tc>
        <w:tc>
          <w:tcPr>
            <w:tcW w:w="1502" w:type="dxa"/>
            <w:vAlign w:val="center"/>
          </w:tcPr>
          <w:p w14:paraId="3861ACBC" w14:textId="77777777" w:rsidR="003A714D" w:rsidRPr="003A714D" w:rsidRDefault="003A714D" w:rsidP="00D123CB">
            <w:pPr>
              <w:jc w:val="center"/>
              <w:rPr>
                <w:sz w:val="20"/>
              </w:rPr>
            </w:pPr>
            <w:r w:rsidRPr="003A714D">
              <w:rPr>
                <w:color w:val="000000"/>
                <w:sz w:val="20"/>
              </w:rPr>
              <w:t>379.23</w:t>
            </w:r>
          </w:p>
        </w:tc>
        <w:tc>
          <w:tcPr>
            <w:tcW w:w="1502" w:type="dxa"/>
            <w:vAlign w:val="center"/>
          </w:tcPr>
          <w:p w14:paraId="162C7E3E" w14:textId="77777777" w:rsidR="003A714D" w:rsidRPr="003A714D" w:rsidRDefault="003A714D" w:rsidP="00D123CB">
            <w:pPr>
              <w:jc w:val="center"/>
              <w:rPr>
                <w:sz w:val="20"/>
              </w:rPr>
            </w:pPr>
            <w:r w:rsidRPr="003A714D">
              <w:rPr>
                <w:color w:val="000000"/>
                <w:sz w:val="20"/>
              </w:rPr>
              <w:t>69.47</w:t>
            </w:r>
          </w:p>
        </w:tc>
        <w:tc>
          <w:tcPr>
            <w:tcW w:w="1503" w:type="dxa"/>
            <w:vAlign w:val="center"/>
          </w:tcPr>
          <w:p w14:paraId="43F3D11D" w14:textId="77777777" w:rsidR="003A714D" w:rsidRPr="003A714D" w:rsidRDefault="003A714D" w:rsidP="00D123CB">
            <w:pPr>
              <w:jc w:val="center"/>
              <w:rPr>
                <w:sz w:val="20"/>
              </w:rPr>
            </w:pPr>
            <w:r w:rsidRPr="003A714D">
              <w:rPr>
                <w:color w:val="000000"/>
                <w:sz w:val="20"/>
              </w:rPr>
              <w:t>128.14</w:t>
            </w:r>
          </w:p>
        </w:tc>
        <w:tc>
          <w:tcPr>
            <w:tcW w:w="1503" w:type="dxa"/>
            <w:vAlign w:val="center"/>
          </w:tcPr>
          <w:p w14:paraId="7BAA0F09" w14:textId="77777777" w:rsidR="003A714D" w:rsidRPr="003A714D" w:rsidRDefault="003A714D" w:rsidP="00D123CB">
            <w:pPr>
              <w:jc w:val="center"/>
              <w:rPr>
                <w:sz w:val="20"/>
              </w:rPr>
            </w:pPr>
            <w:r w:rsidRPr="003A714D">
              <w:rPr>
                <w:color w:val="000000"/>
                <w:sz w:val="20"/>
              </w:rPr>
              <w:t>634.3</w:t>
            </w:r>
          </w:p>
        </w:tc>
      </w:tr>
      <w:tr w:rsidR="003A714D" w:rsidRPr="003A714D" w14:paraId="07C5D007" w14:textId="77777777" w:rsidTr="00BF7A6B">
        <w:trPr>
          <w:jc w:val="center"/>
        </w:trPr>
        <w:tc>
          <w:tcPr>
            <w:tcW w:w="1696" w:type="dxa"/>
            <w:vAlign w:val="center"/>
          </w:tcPr>
          <w:p w14:paraId="683AE315" w14:textId="77777777" w:rsidR="003A714D" w:rsidRPr="003A714D" w:rsidRDefault="003A714D" w:rsidP="00D123CB">
            <w:pPr>
              <w:rPr>
                <w:sz w:val="20"/>
              </w:rPr>
            </w:pPr>
            <w:r w:rsidRPr="003A714D">
              <w:rPr>
                <w:sz w:val="20"/>
              </w:rPr>
              <w:t xml:space="preserve">PV2MAPI </w:t>
            </w:r>
          </w:p>
        </w:tc>
        <w:tc>
          <w:tcPr>
            <w:tcW w:w="1308" w:type="dxa"/>
            <w:vAlign w:val="center"/>
          </w:tcPr>
          <w:p w14:paraId="36268C46" w14:textId="77777777" w:rsidR="003A714D" w:rsidRPr="003A714D" w:rsidRDefault="003A714D" w:rsidP="00D123CB">
            <w:pPr>
              <w:jc w:val="center"/>
              <w:rPr>
                <w:sz w:val="20"/>
              </w:rPr>
            </w:pPr>
            <w:r w:rsidRPr="003A714D">
              <w:rPr>
                <w:sz w:val="20"/>
              </w:rPr>
              <w:t>3602</w:t>
            </w:r>
          </w:p>
        </w:tc>
        <w:tc>
          <w:tcPr>
            <w:tcW w:w="1502" w:type="dxa"/>
            <w:vAlign w:val="center"/>
          </w:tcPr>
          <w:p w14:paraId="7FE025A1" w14:textId="77777777" w:rsidR="003A714D" w:rsidRPr="003A714D" w:rsidRDefault="003A714D" w:rsidP="00D123CB">
            <w:pPr>
              <w:jc w:val="center"/>
              <w:rPr>
                <w:sz w:val="20"/>
              </w:rPr>
            </w:pPr>
            <w:r w:rsidRPr="003A714D">
              <w:rPr>
                <w:color w:val="000000"/>
                <w:sz w:val="20"/>
              </w:rPr>
              <w:t>380.54</w:t>
            </w:r>
          </w:p>
        </w:tc>
        <w:tc>
          <w:tcPr>
            <w:tcW w:w="1502" w:type="dxa"/>
            <w:vAlign w:val="center"/>
          </w:tcPr>
          <w:p w14:paraId="55108746" w14:textId="77777777" w:rsidR="003A714D" w:rsidRPr="003A714D" w:rsidRDefault="003A714D" w:rsidP="00D123CB">
            <w:pPr>
              <w:jc w:val="center"/>
              <w:rPr>
                <w:sz w:val="20"/>
              </w:rPr>
            </w:pPr>
            <w:r w:rsidRPr="003A714D">
              <w:rPr>
                <w:color w:val="000000"/>
                <w:sz w:val="20"/>
              </w:rPr>
              <w:t>68.81</w:t>
            </w:r>
          </w:p>
        </w:tc>
        <w:tc>
          <w:tcPr>
            <w:tcW w:w="1503" w:type="dxa"/>
            <w:vAlign w:val="center"/>
          </w:tcPr>
          <w:p w14:paraId="762276F2" w14:textId="77777777" w:rsidR="003A714D" w:rsidRPr="003A714D" w:rsidRDefault="003A714D" w:rsidP="00D123CB">
            <w:pPr>
              <w:jc w:val="center"/>
              <w:rPr>
                <w:sz w:val="20"/>
              </w:rPr>
            </w:pPr>
            <w:r w:rsidRPr="003A714D">
              <w:rPr>
                <w:color w:val="000000"/>
                <w:sz w:val="20"/>
              </w:rPr>
              <w:t>163.9</w:t>
            </w:r>
          </w:p>
        </w:tc>
        <w:tc>
          <w:tcPr>
            <w:tcW w:w="1503" w:type="dxa"/>
            <w:vAlign w:val="center"/>
          </w:tcPr>
          <w:p w14:paraId="233A1F0C" w14:textId="77777777" w:rsidR="003A714D" w:rsidRPr="003A714D" w:rsidRDefault="003A714D" w:rsidP="00D123CB">
            <w:pPr>
              <w:jc w:val="center"/>
              <w:rPr>
                <w:sz w:val="20"/>
              </w:rPr>
            </w:pPr>
            <w:r w:rsidRPr="003A714D">
              <w:rPr>
                <w:color w:val="000000"/>
                <w:sz w:val="20"/>
              </w:rPr>
              <w:t>637.49</w:t>
            </w:r>
          </w:p>
        </w:tc>
      </w:tr>
      <w:tr w:rsidR="003A714D" w:rsidRPr="003A714D" w14:paraId="5015D52B" w14:textId="77777777" w:rsidTr="00BF7A6B">
        <w:trPr>
          <w:jc w:val="center"/>
        </w:trPr>
        <w:tc>
          <w:tcPr>
            <w:tcW w:w="1696" w:type="dxa"/>
            <w:vAlign w:val="center"/>
          </w:tcPr>
          <w:p w14:paraId="4ACA46A7" w14:textId="77777777" w:rsidR="003A714D" w:rsidRPr="003A714D" w:rsidRDefault="003A714D" w:rsidP="00D123CB">
            <w:pPr>
              <w:rPr>
                <w:sz w:val="20"/>
              </w:rPr>
            </w:pPr>
            <w:r w:rsidRPr="003A714D">
              <w:rPr>
                <w:sz w:val="20"/>
              </w:rPr>
              <w:t>PV3MAPI</w:t>
            </w:r>
          </w:p>
        </w:tc>
        <w:tc>
          <w:tcPr>
            <w:tcW w:w="1308" w:type="dxa"/>
            <w:vAlign w:val="center"/>
          </w:tcPr>
          <w:p w14:paraId="4D0551A7" w14:textId="77777777" w:rsidR="003A714D" w:rsidRPr="003A714D" w:rsidRDefault="003A714D" w:rsidP="00D123CB">
            <w:pPr>
              <w:jc w:val="center"/>
              <w:rPr>
                <w:sz w:val="20"/>
              </w:rPr>
            </w:pPr>
            <w:r w:rsidRPr="003A714D">
              <w:rPr>
                <w:sz w:val="20"/>
              </w:rPr>
              <w:t>3602</w:t>
            </w:r>
          </w:p>
        </w:tc>
        <w:tc>
          <w:tcPr>
            <w:tcW w:w="1502" w:type="dxa"/>
            <w:vAlign w:val="center"/>
          </w:tcPr>
          <w:p w14:paraId="601A5D77" w14:textId="77777777" w:rsidR="003A714D" w:rsidRPr="003A714D" w:rsidRDefault="003A714D" w:rsidP="00D123CB">
            <w:pPr>
              <w:jc w:val="center"/>
              <w:rPr>
                <w:sz w:val="20"/>
              </w:rPr>
            </w:pPr>
            <w:r w:rsidRPr="003A714D">
              <w:rPr>
                <w:color w:val="000000"/>
                <w:sz w:val="20"/>
              </w:rPr>
              <w:t>379.8</w:t>
            </w:r>
          </w:p>
        </w:tc>
        <w:tc>
          <w:tcPr>
            <w:tcW w:w="1502" w:type="dxa"/>
            <w:vAlign w:val="center"/>
          </w:tcPr>
          <w:p w14:paraId="6E808A59" w14:textId="77777777" w:rsidR="003A714D" w:rsidRPr="003A714D" w:rsidRDefault="003A714D" w:rsidP="00D123CB">
            <w:pPr>
              <w:jc w:val="center"/>
              <w:rPr>
                <w:sz w:val="20"/>
              </w:rPr>
            </w:pPr>
            <w:r w:rsidRPr="003A714D">
              <w:rPr>
                <w:color w:val="000000"/>
                <w:sz w:val="20"/>
              </w:rPr>
              <w:t>68.21</w:t>
            </w:r>
          </w:p>
        </w:tc>
        <w:tc>
          <w:tcPr>
            <w:tcW w:w="1503" w:type="dxa"/>
            <w:vAlign w:val="center"/>
          </w:tcPr>
          <w:p w14:paraId="54487CA8" w14:textId="77777777" w:rsidR="003A714D" w:rsidRPr="003A714D" w:rsidRDefault="003A714D" w:rsidP="00D123CB">
            <w:pPr>
              <w:jc w:val="center"/>
              <w:rPr>
                <w:sz w:val="20"/>
              </w:rPr>
            </w:pPr>
            <w:r w:rsidRPr="003A714D">
              <w:rPr>
                <w:color w:val="000000"/>
                <w:sz w:val="20"/>
              </w:rPr>
              <w:t>174.88</w:t>
            </w:r>
          </w:p>
        </w:tc>
        <w:tc>
          <w:tcPr>
            <w:tcW w:w="1503" w:type="dxa"/>
            <w:vAlign w:val="center"/>
          </w:tcPr>
          <w:p w14:paraId="7BE30A7A" w14:textId="77777777" w:rsidR="003A714D" w:rsidRPr="003A714D" w:rsidRDefault="003A714D" w:rsidP="00D123CB">
            <w:pPr>
              <w:jc w:val="center"/>
              <w:rPr>
                <w:sz w:val="20"/>
              </w:rPr>
            </w:pPr>
            <w:r w:rsidRPr="003A714D">
              <w:rPr>
                <w:color w:val="000000"/>
                <w:sz w:val="20"/>
              </w:rPr>
              <w:t>614.12</w:t>
            </w:r>
          </w:p>
        </w:tc>
      </w:tr>
      <w:tr w:rsidR="003A714D" w:rsidRPr="003A714D" w14:paraId="5B13705C" w14:textId="77777777" w:rsidTr="00BF7A6B">
        <w:trPr>
          <w:jc w:val="center"/>
        </w:trPr>
        <w:tc>
          <w:tcPr>
            <w:tcW w:w="1696" w:type="dxa"/>
            <w:vAlign w:val="center"/>
          </w:tcPr>
          <w:p w14:paraId="709FAD5B" w14:textId="77777777" w:rsidR="003A714D" w:rsidRPr="003A714D" w:rsidRDefault="003A714D" w:rsidP="00D123CB">
            <w:pPr>
              <w:rPr>
                <w:sz w:val="20"/>
              </w:rPr>
            </w:pPr>
            <w:r w:rsidRPr="003A714D">
              <w:rPr>
                <w:sz w:val="20"/>
              </w:rPr>
              <w:t xml:space="preserve">PV4MAPI </w:t>
            </w:r>
          </w:p>
        </w:tc>
        <w:tc>
          <w:tcPr>
            <w:tcW w:w="1308" w:type="dxa"/>
            <w:vAlign w:val="center"/>
          </w:tcPr>
          <w:p w14:paraId="38CA7AFD" w14:textId="77777777" w:rsidR="003A714D" w:rsidRPr="003A714D" w:rsidRDefault="003A714D" w:rsidP="00D123CB">
            <w:pPr>
              <w:jc w:val="center"/>
              <w:rPr>
                <w:sz w:val="20"/>
              </w:rPr>
            </w:pPr>
            <w:r w:rsidRPr="003A714D">
              <w:rPr>
                <w:sz w:val="20"/>
              </w:rPr>
              <w:t>3602</w:t>
            </w:r>
          </w:p>
        </w:tc>
        <w:tc>
          <w:tcPr>
            <w:tcW w:w="1502" w:type="dxa"/>
            <w:vAlign w:val="center"/>
          </w:tcPr>
          <w:p w14:paraId="4ADD0A5C" w14:textId="77777777" w:rsidR="003A714D" w:rsidRPr="003A714D" w:rsidRDefault="003A714D" w:rsidP="00D123CB">
            <w:pPr>
              <w:jc w:val="center"/>
              <w:rPr>
                <w:sz w:val="20"/>
              </w:rPr>
            </w:pPr>
            <w:r w:rsidRPr="003A714D">
              <w:rPr>
                <w:color w:val="000000"/>
                <w:sz w:val="20"/>
              </w:rPr>
              <w:t>379.63</w:t>
            </w:r>
          </w:p>
        </w:tc>
        <w:tc>
          <w:tcPr>
            <w:tcW w:w="1502" w:type="dxa"/>
            <w:vAlign w:val="center"/>
          </w:tcPr>
          <w:p w14:paraId="1CE34C15" w14:textId="77777777" w:rsidR="003A714D" w:rsidRPr="003A714D" w:rsidRDefault="003A714D" w:rsidP="00D123CB">
            <w:pPr>
              <w:jc w:val="center"/>
              <w:rPr>
                <w:sz w:val="20"/>
              </w:rPr>
            </w:pPr>
            <w:r w:rsidRPr="003A714D">
              <w:rPr>
                <w:color w:val="000000"/>
                <w:sz w:val="20"/>
              </w:rPr>
              <w:t>68.23</w:t>
            </w:r>
          </w:p>
        </w:tc>
        <w:tc>
          <w:tcPr>
            <w:tcW w:w="1503" w:type="dxa"/>
            <w:vAlign w:val="center"/>
          </w:tcPr>
          <w:p w14:paraId="56EA813E" w14:textId="77777777" w:rsidR="003A714D" w:rsidRPr="003A714D" w:rsidRDefault="003A714D" w:rsidP="00D123CB">
            <w:pPr>
              <w:jc w:val="center"/>
              <w:rPr>
                <w:sz w:val="20"/>
              </w:rPr>
            </w:pPr>
            <w:r w:rsidRPr="003A714D">
              <w:rPr>
                <w:color w:val="000000"/>
                <w:sz w:val="20"/>
              </w:rPr>
              <w:t>129.93</w:t>
            </w:r>
          </w:p>
        </w:tc>
        <w:tc>
          <w:tcPr>
            <w:tcW w:w="1503" w:type="dxa"/>
            <w:vAlign w:val="center"/>
          </w:tcPr>
          <w:p w14:paraId="7D6D0987" w14:textId="77777777" w:rsidR="003A714D" w:rsidRPr="003A714D" w:rsidRDefault="003A714D" w:rsidP="00D123CB">
            <w:pPr>
              <w:jc w:val="center"/>
              <w:rPr>
                <w:sz w:val="20"/>
              </w:rPr>
            </w:pPr>
            <w:r w:rsidRPr="003A714D">
              <w:rPr>
                <w:color w:val="000000"/>
                <w:sz w:val="20"/>
              </w:rPr>
              <w:t>638.27</w:t>
            </w:r>
          </w:p>
        </w:tc>
      </w:tr>
      <w:tr w:rsidR="003A714D" w:rsidRPr="003A714D" w14:paraId="5FB6B007" w14:textId="77777777" w:rsidTr="00BF7A6B">
        <w:trPr>
          <w:jc w:val="center"/>
        </w:trPr>
        <w:tc>
          <w:tcPr>
            <w:tcW w:w="1696" w:type="dxa"/>
            <w:vAlign w:val="center"/>
          </w:tcPr>
          <w:p w14:paraId="13CA5E0E" w14:textId="77777777" w:rsidR="003A714D" w:rsidRPr="003A714D" w:rsidRDefault="003A714D" w:rsidP="00D123CB">
            <w:pPr>
              <w:rPr>
                <w:sz w:val="20"/>
              </w:rPr>
            </w:pPr>
            <w:r w:rsidRPr="003A714D">
              <w:rPr>
                <w:sz w:val="20"/>
              </w:rPr>
              <w:t>PV5MAPI</w:t>
            </w:r>
          </w:p>
        </w:tc>
        <w:tc>
          <w:tcPr>
            <w:tcW w:w="1308" w:type="dxa"/>
            <w:vAlign w:val="center"/>
          </w:tcPr>
          <w:p w14:paraId="5586F063" w14:textId="77777777" w:rsidR="003A714D" w:rsidRPr="003A714D" w:rsidRDefault="003A714D" w:rsidP="00D123CB">
            <w:pPr>
              <w:jc w:val="center"/>
              <w:rPr>
                <w:sz w:val="20"/>
              </w:rPr>
            </w:pPr>
            <w:r w:rsidRPr="003A714D">
              <w:rPr>
                <w:sz w:val="20"/>
              </w:rPr>
              <w:t>3602</w:t>
            </w:r>
          </w:p>
        </w:tc>
        <w:tc>
          <w:tcPr>
            <w:tcW w:w="1502" w:type="dxa"/>
            <w:vAlign w:val="center"/>
          </w:tcPr>
          <w:p w14:paraId="34C0F3BC" w14:textId="77777777" w:rsidR="003A714D" w:rsidRPr="003A714D" w:rsidRDefault="003A714D" w:rsidP="00D123CB">
            <w:pPr>
              <w:jc w:val="center"/>
              <w:rPr>
                <w:sz w:val="20"/>
              </w:rPr>
            </w:pPr>
            <w:r w:rsidRPr="003A714D">
              <w:rPr>
                <w:color w:val="000000"/>
                <w:sz w:val="20"/>
              </w:rPr>
              <w:t>380.76</w:t>
            </w:r>
          </w:p>
        </w:tc>
        <w:tc>
          <w:tcPr>
            <w:tcW w:w="1502" w:type="dxa"/>
            <w:vAlign w:val="center"/>
          </w:tcPr>
          <w:p w14:paraId="6953511B" w14:textId="77777777" w:rsidR="003A714D" w:rsidRPr="003A714D" w:rsidRDefault="003A714D" w:rsidP="00D123CB">
            <w:pPr>
              <w:jc w:val="center"/>
              <w:rPr>
                <w:sz w:val="20"/>
              </w:rPr>
            </w:pPr>
            <w:r w:rsidRPr="003A714D">
              <w:rPr>
                <w:color w:val="000000"/>
                <w:sz w:val="20"/>
              </w:rPr>
              <w:t>68.46</w:t>
            </w:r>
          </w:p>
        </w:tc>
        <w:tc>
          <w:tcPr>
            <w:tcW w:w="1503" w:type="dxa"/>
            <w:vAlign w:val="center"/>
          </w:tcPr>
          <w:p w14:paraId="3C5B6288" w14:textId="77777777" w:rsidR="003A714D" w:rsidRPr="003A714D" w:rsidRDefault="003A714D" w:rsidP="00D123CB">
            <w:pPr>
              <w:jc w:val="center"/>
              <w:rPr>
                <w:sz w:val="20"/>
              </w:rPr>
            </w:pPr>
            <w:r w:rsidRPr="003A714D">
              <w:rPr>
                <w:color w:val="000000"/>
                <w:sz w:val="20"/>
              </w:rPr>
              <w:t>130.48</w:t>
            </w:r>
          </w:p>
        </w:tc>
        <w:tc>
          <w:tcPr>
            <w:tcW w:w="1503" w:type="dxa"/>
            <w:vAlign w:val="center"/>
          </w:tcPr>
          <w:p w14:paraId="18DFE090" w14:textId="77777777" w:rsidR="003A714D" w:rsidRPr="003A714D" w:rsidRDefault="003A714D" w:rsidP="00D123CB">
            <w:pPr>
              <w:jc w:val="center"/>
              <w:rPr>
                <w:sz w:val="20"/>
              </w:rPr>
            </w:pPr>
            <w:r w:rsidRPr="003A714D">
              <w:rPr>
                <w:color w:val="000000"/>
                <w:sz w:val="20"/>
              </w:rPr>
              <w:t>647.46</w:t>
            </w:r>
          </w:p>
        </w:tc>
      </w:tr>
    </w:tbl>
    <w:p w14:paraId="6D5F01FC" w14:textId="70DC16A2" w:rsidR="0087284F" w:rsidRDefault="0087284F" w:rsidP="004E3C57">
      <w:pPr>
        <w:pStyle w:val="Paragraph"/>
      </w:pPr>
    </w:p>
    <w:p w14:paraId="465D28E1" w14:textId="3A275074" w:rsidR="0087284F" w:rsidRDefault="00F166B9" w:rsidP="004E3C57">
      <w:pPr>
        <w:pStyle w:val="Paragraph"/>
      </w:pPr>
      <w:r>
        <w:t xml:space="preserve">From table 2 and table 3 it can be seen a big contrast </w:t>
      </w:r>
      <w:r w:rsidR="00C03CFD">
        <w:t>between</w:t>
      </w:r>
      <w:r>
        <w:t xml:space="preserve"> Indonesian students’ performance on mathematics literacy ability and</w:t>
      </w:r>
      <w:r w:rsidR="00C03CFD">
        <w:t xml:space="preserve"> mathematics literacy ability of all students who participated in PISA 2012</w:t>
      </w:r>
      <w:r>
        <w:t xml:space="preserve">. </w:t>
      </w:r>
      <w:r w:rsidR="00385160">
        <w:t xml:space="preserve">The mean off all mathematics literacy plausible values of Indonesian students </w:t>
      </w:r>
      <w:r w:rsidR="00216992">
        <w:t>is</w:t>
      </w:r>
      <w:r w:rsidR="00385160">
        <w:t xml:space="preserve"> about 370 while the mean of all mathematics literacy plausible values PISA </w:t>
      </w:r>
      <w:r w:rsidR="00216992">
        <w:t xml:space="preserve">is about 500. </w:t>
      </w:r>
      <w:r w:rsidR="00C03CFD">
        <w:t xml:space="preserve">More than 90% of Indonesian students’ plausible values for each mathematics literacy aspects are below the </w:t>
      </w:r>
      <w:r w:rsidR="00385160">
        <w:t xml:space="preserve">PISA 2012 plausible values mean. It indicates that </w:t>
      </w:r>
      <w:r w:rsidR="00216992">
        <w:t>Indonesia students has very low performance on math</w:t>
      </w:r>
      <w:r w:rsidR="00190546">
        <w:t xml:space="preserve">ematics literacy ability. </w:t>
      </w:r>
    </w:p>
    <w:p w14:paraId="114654E6" w14:textId="5233BE77" w:rsidR="003E423F" w:rsidRDefault="003E423F" w:rsidP="004E3C57">
      <w:pPr>
        <w:pStyle w:val="Paragraph"/>
      </w:pPr>
    </w:p>
    <w:p w14:paraId="261EBCF0" w14:textId="044317A3" w:rsidR="003E423F" w:rsidRDefault="003E423F" w:rsidP="004E3C57">
      <w:pPr>
        <w:pStyle w:val="Paragraph"/>
      </w:pPr>
    </w:p>
    <w:p w14:paraId="1CEE7087" w14:textId="77777777" w:rsidR="003E423F" w:rsidRDefault="003E423F" w:rsidP="004E3C57">
      <w:pPr>
        <w:pStyle w:val="Paragraph"/>
      </w:pPr>
    </w:p>
    <w:p w14:paraId="2E67D99A" w14:textId="77777777" w:rsidR="000E2DC0" w:rsidRDefault="000E2DC0" w:rsidP="0058273D">
      <w:pPr>
        <w:pStyle w:val="Paragraph"/>
        <w:ind w:firstLine="0"/>
        <w:jc w:val="center"/>
        <w:rPr>
          <w:b/>
          <w:bCs/>
        </w:rPr>
      </w:pPr>
    </w:p>
    <w:p w14:paraId="4A0E19C4" w14:textId="77777777" w:rsidR="000E2DC0" w:rsidRDefault="000E2DC0" w:rsidP="0058273D">
      <w:pPr>
        <w:pStyle w:val="Paragraph"/>
        <w:ind w:firstLine="0"/>
        <w:jc w:val="center"/>
        <w:rPr>
          <w:b/>
          <w:bCs/>
        </w:rPr>
      </w:pPr>
    </w:p>
    <w:p w14:paraId="451473D9" w14:textId="4321E533" w:rsidR="0087284F" w:rsidRDefault="0058273D" w:rsidP="0058273D">
      <w:pPr>
        <w:pStyle w:val="Paragraph"/>
        <w:ind w:firstLine="0"/>
        <w:jc w:val="center"/>
      </w:pPr>
      <w:r w:rsidRPr="003A714D">
        <w:rPr>
          <w:b/>
          <w:bCs/>
        </w:rPr>
        <w:lastRenderedPageBreak/>
        <w:t xml:space="preserve">TABLE </w:t>
      </w:r>
      <w:r>
        <w:rPr>
          <w:b/>
          <w:bCs/>
        </w:rPr>
        <w:t>3</w:t>
      </w:r>
      <w:r>
        <w:t xml:space="preserve">. Plausible Values </w:t>
      </w:r>
      <w:r w:rsidR="00F166B9">
        <w:t xml:space="preserve">Mean </w:t>
      </w:r>
      <w:r>
        <w:t>of Mathematics Literacy Ability</w:t>
      </w:r>
      <w:r w:rsidR="00F166B9">
        <w:t xml:space="preserve"> PISA 2012 </w:t>
      </w:r>
      <w:r w:rsidR="00F166B9">
        <w:fldChar w:fldCharType="begin" w:fldLock="1"/>
      </w:r>
      <w:r w:rsidR="009C78E0">
        <w:instrText>ADDIN CSL_CITATION {"citationItems":[{"id":"ITEM-1","itemData":{"DOI":"10.1177/00049441211031674","ISSN":"20505884","abstract":"Recent studies reiterate the importance of mathematical literacy and the identification of skills, knowledge and cognitive processes which contribute to composite test scores to facilitate targeted remediation and extension activities. To this end, the current article examines data from the 2012 cycle of the Programme for International Student Assessment (PISA), using multilevel modelling techniques to explore the relationship between selected student-level and teacher/school-level factors and the three processes of interpret, employ and formulate which were measured as the skills underlying mathematical literacy in that assessment. Results of the analyses indicate that boys outperform girls significantly (p &lt; 0.001) in all three processes whereby formulate invokes relatively more inter- and intra-level influences compared with interpret. Apart from the relatively higher item-difficulties of formulate, an increase in the complexity of contextual effects at the student and the teacher/school-level emerges as mathematical processes move from interpret to employ to formulate. Findings also reveal that students taught by teachers who had mathematics as a major in their undergraduate studies and who work in relatively smaller classes or groups show higher performance in all three mathematical literacy processes. Use of ICT in mathematics lessons is negatively associated with the three mathematical literacy processes. The additional negative effect of mathematical extracurricular activities at school on the processes highlights the need to rethink how technology and extracurricular lessons are to be used, designed/structured and delivered to optimise the learning of mathematical processes, and ultimately improve mathematical literacy.","author":[{"dropping-particle":"","family":"Alagumalai","given":"Sivakumar","non-dropping-particle":"","parse-names":false,"suffix":""},{"dropping-particle":"","family":"Buchdahl","given":"Nicholas","non-dropping-particle":"","parse-names":false,"suffix":""}],"container-title":"Australian Journal of Education","id":"ITEM-1","issue":"2","issued":{"date-parts":[["2021"]]},"page":"173-194","title":"PISA 2012: Examining the influence of prior knowledge, time-on-task, school-level effects on achievements in mathematical literacy processes – Interpret, employ and formulate","type":"article-journal","volume":"65"},"uris":["http://www.mendeley.com/documents/?uuid=5620b8fa-6f9f-4425-ae7f-0173256d769c"]}],"mendeley":{"formattedCitation":"[17]","plainTextFormattedCitation":"[17]","previouslyFormattedCitation":"[17]"},"properties":{"noteIndex":0},"schema":"https://github.com/citation-style-language/schema/raw/master/csl-citation.json"}</w:instrText>
      </w:r>
      <w:r w:rsidR="00F166B9">
        <w:fldChar w:fldCharType="separate"/>
      </w:r>
      <w:r w:rsidR="00F166B9" w:rsidRPr="002B615D">
        <w:rPr>
          <w:noProof/>
        </w:rPr>
        <w:t>[17]</w:t>
      </w:r>
      <w:r w:rsidR="00F166B9">
        <w:fldChar w:fldCharType="end"/>
      </w:r>
      <w:r w:rsidR="00F166B9">
        <w:t xml:space="preserve"> and the </w:t>
      </w:r>
      <w:r w:rsidR="00F166B9" w:rsidRPr="00F166B9">
        <w:t>Percentage of Indonesia Students Who Scored greater than PISA 2012</w:t>
      </w:r>
      <w:r w:rsidR="00F166B9">
        <w:t xml:space="preserve"> Mathematics Literacy Ability Mean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308"/>
        <w:gridCol w:w="1502"/>
        <w:gridCol w:w="2798"/>
      </w:tblGrid>
      <w:tr w:rsidR="0058273D" w:rsidRPr="003A714D" w14:paraId="712376F2" w14:textId="77777777" w:rsidTr="00D123CB">
        <w:trPr>
          <w:trHeight w:val="396"/>
          <w:jc w:val="center"/>
        </w:trPr>
        <w:tc>
          <w:tcPr>
            <w:tcW w:w="1696" w:type="dxa"/>
            <w:tcBorders>
              <w:top w:val="single" w:sz="4" w:space="0" w:color="auto"/>
              <w:bottom w:val="single" w:sz="4" w:space="0" w:color="auto"/>
            </w:tcBorders>
            <w:vAlign w:val="center"/>
          </w:tcPr>
          <w:p w14:paraId="65A8867E" w14:textId="77777777" w:rsidR="0058273D" w:rsidRPr="003A714D" w:rsidRDefault="0058273D" w:rsidP="00D123CB">
            <w:pPr>
              <w:jc w:val="center"/>
              <w:rPr>
                <w:b/>
                <w:bCs/>
                <w:sz w:val="18"/>
                <w:szCs w:val="18"/>
              </w:rPr>
            </w:pPr>
            <w:r w:rsidRPr="003A714D">
              <w:rPr>
                <w:b/>
                <w:bCs/>
                <w:sz w:val="18"/>
                <w:szCs w:val="18"/>
              </w:rPr>
              <w:t>Variable name</w:t>
            </w:r>
          </w:p>
        </w:tc>
        <w:tc>
          <w:tcPr>
            <w:tcW w:w="1308" w:type="dxa"/>
            <w:tcBorders>
              <w:top w:val="single" w:sz="4" w:space="0" w:color="auto"/>
              <w:bottom w:val="single" w:sz="4" w:space="0" w:color="auto"/>
            </w:tcBorders>
            <w:vAlign w:val="center"/>
          </w:tcPr>
          <w:p w14:paraId="0D3C76A7" w14:textId="77777777" w:rsidR="0058273D" w:rsidRPr="003A714D" w:rsidRDefault="0058273D" w:rsidP="00D123CB">
            <w:pPr>
              <w:jc w:val="center"/>
              <w:rPr>
                <w:b/>
                <w:bCs/>
                <w:sz w:val="18"/>
                <w:szCs w:val="18"/>
              </w:rPr>
            </w:pPr>
            <w:r w:rsidRPr="003A714D">
              <w:rPr>
                <w:b/>
                <w:bCs/>
                <w:sz w:val="18"/>
                <w:szCs w:val="18"/>
              </w:rPr>
              <w:t>N</w:t>
            </w:r>
          </w:p>
        </w:tc>
        <w:tc>
          <w:tcPr>
            <w:tcW w:w="1502" w:type="dxa"/>
            <w:tcBorders>
              <w:top w:val="single" w:sz="4" w:space="0" w:color="auto"/>
              <w:bottom w:val="single" w:sz="4" w:space="0" w:color="auto"/>
            </w:tcBorders>
            <w:vAlign w:val="center"/>
          </w:tcPr>
          <w:p w14:paraId="63A0A734" w14:textId="77777777" w:rsidR="0058273D" w:rsidRPr="003A714D" w:rsidRDefault="0058273D" w:rsidP="00D123CB">
            <w:pPr>
              <w:jc w:val="center"/>
              <w:rPr>
                <w:b/>
                <w:bCs/>
                <w:sz w:val="18"/>
                <w:szCs w:val="18"/>
              </w:rPr>
            </w:pPr>
            <w:r w:rsidRPr="003A714D">
              <w:rPr>
                <w:b/>
                <w:bCs/>
                <w:sz w:val="18"/>
                <w:szCs w:val="18"/>
              </w:rPr>
              <w:t>Mean</w:t>
            </w:r>
          </w:p>
        </w:tc>
        <w:tc>
          <w:tcPr>
            <w:tcW w:w="2798" w:type="dxa"/>
            <w:tcBorders>
              <w:top w:val="single" w:sz="4" w:space="0" w:color="auto"/>
              <w:bottom w:val="single" w:sz="4" w:space="0" w:color="auto"/>
            </w:tcBorders>
            <w:vAlign w:val="center"/>
          </w:tcPr>
          <w:p w14:paraId="253B5B1F" w14:textId="77777777" w:rsidR="0058273D" w:rsidRPr="003A714D" w:rsidRDefault="0058273D" w:rsidP="00D123CB">
            <w:pPr>
              <w:jc w:val="center"/>
              <w:rPr>
                <w:b/>
                <w:bCs/>
                <w:sz w:val="18"/>
                <w:szCs w:val="18"/>
              </w:rPr>
            </w:pPr>
            <w:r>
              <w:rPr>
                <w:b/>
                <w:bCs/>
                <w:sz w:val="18"/>
                <w:szCs w:val="18"/>
              </w:rPr>
              <w:t>Percentage of Indonesia students who scored greater than PISA 2012 mathematics literacy mean</w:t>
            </w:r>
          </w:p>
        </w:tc>
      </w:tr>
      <w:tr w:rsidR="0058273D" w:rsidRPr="003A714D" w14:paraId="75719313" w14:textId="77777777" w:rsidTr="00D123CB">
        <w:trPr>
          <w:jc w:val="center"/>
        </w:trPr>
        <w:tc>
          <w:tcPr>
            <w:tcW w:w="1696" w:type="dxa"/>
            <w:tcBorders>
              <w:top w:val="single" w:sz="4" w:space="0" w:color="auto"/>
            </w:tcBorders>
            <w:vAlign w:val="center"/>
          </w:tcPr>
          <w:p w14:paraId="78971513" w14:textId="77777777" w:rsidR="0058273D" w:rsidRPr="003A714D" w:rsidRDefault="0058273D" w:rsidP="00D123CB">
            <w:pPr>
              <w:rPr>
                <w:sz w:val="20"/>
              </w:rPr>
            </w:pPr>
            <w:r w:rsidRPr="003A714D">
              <w:rPr>
                <w:sz w:val="20"/>
              </w:rPr>
              <w:t>PV1MAPE</w:t>
            </w:r>
          </w:p>
        </w:tc>
        <w:tc>
          <w:tcPr>
            <w:tcW w:w="1308" w:type="dxa"/>
            <w:tcBorders>
              <w:top w:val="single" w:sz="4" w:space="0" w:color="auto"/>
            </w:tcBorders>
          </w:tcPr>
          <w:p w14:paraId="57108126"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tcBorders>
              <w:top w:val="single" w:sz="4" w:space="0" w:color="auto"/>
            </w:tcBorders>
            <w:vAlign w:val="center"/>
          </w:tcPr>
          <w:p w14:paraId="2F376366" w14:textId="77777777" w:rsidR="0058273D" w:rsidRPr="00F952C3" w:rsidRDefault="0058273D" w:rsidP="00D123CB">
            <w:pPr>
              <w:jc w:val="center"/>
              <w:rPr>
                <w:sz w:val="20"/>
              </w:rPr>
            </w:pPr>
            <w:r w:rsidRPr="00F952C3">
              <w:rPr>
                <w:rFonts w:ascii="Calibri" w:hAnsi="Calibri" w:cs="Calibri"/>
                <w:color w:val="000000"/>
                <w:sz w:val="20"/>
              </w:rPr>
              <w:t>﻿</w:t>
            </w:r>
            <w:r w:rsidRPr="00F952C3">
              <w:rPr>
                <w:color w:val="000000"/>
                <w:sz w:val="20"/>
              </w:rPr>
              <w:t>508.38</w:t>
            </w:r>
          </w:p>
        </w:tc>
        <w:tc>
          <w:tcPr>
            <w:tcW w:w="2798" w:type="dxa"/>
            <w:tcBorders>
              <w:top w:val="single" w:sz="4" w:space="0" w:color="auto"/>
            </w:tcBorders>
            <w:vAlign w:val="center"/>
          </w:tcPr>
          <w:p w14:paraId="7AED1CAA" w14:textId="77777777" w:rsidR="0058273D" w:rsidRPr="00F952C3" w:rsidRDefault="0058273D" w:rsidP="00D123CB">
            <w:pPr>
              <w:jc w:val="center"/>
              <w:rPr>
                <w:sz w:val="20"/>
              </w:rPr>
            </w:pPr>
            <w:r w:rsidRPr="00F952C3">
              <w:rPr>
                <w:sz w:val="20"/>
              </w:rPr>
              <w:t xml:space="preserve">3.91% </w:t>
            </w:r>
          </w:p>
        </w:tc>
      </w:tr>
      <w:tr w:rsidR="0058273D" w:rsidRPr="003A714D" w14:paraId="15EA8CF9" w14:textId="77777777" w:rsidTr="00D123CB">
        <w:trPr>
          <w:jc w:val="center"/>
        </w:trPr>
        <w:tc>
          <w:tcPr>
            <w:tcW w:w="1696" w:type="dxa"/>
            <w:vAlign w:val="center"/>
          </w:tcPr>
          <w:p w14:paraId="212440B5" w14:textId="77777777" w:rsidR="0058273D" w:rsidRPr="003A714D" w:rsidRDefault="0058273D" w:rsidP="00D123CB">
            <w:pPr>
              <w:rPr>
                <w:sz w:val="20"/>
              </w:rPr>
            </w:pPr>
            <w:r w:rsidRPr="003A714D">
              <w:rPr>
                <w:sz w:val="20"/>
              </w:rPr>
              <w:t xml:space="preserve">PV2MAPE </w:t>
            </w:r>
          </w:p>
        </w:tc>
        <w:tc>
          <w:tcPr>
            <w:tcW w:w="1308" w:type="dxa"/>
          </w:tcPr>
          <w:p w14:paraId="06D31C86"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6BFA0011" w14:textId="77777777" w:rsidR="0058273D" w:rsidRPr="00F952C3" w:rsidRDefault="0058273D" w:rsidP="00D123CB">
            <w:pPr>
              <w:jc w:val="center"/>
              <w:rPr>
                <w:sz w:val="20"/>
              </w:rPr>
            </w:pPr>
            <w:r w:rsidRPr="00F952C3">
              <w:rPr>
                <w:color w:val="000000"/>
                <w:sz w:val="20"/>
              </w:rPr>
              <w:t>508.34</w:t>
            </w:r>
          </w:p>
        </w:tc>
        <w:tc>
          <w:tcPr>
            <w:tcW w:w="2798" w:type="dxa"/>
            <w:vAlign w:val="center"/>
          </w:tcPr>
          <w:p w14:paraId="70E17FA3" w14:textId="77777777" w:rsidR="0058273D" w:rsidRPr="00F952C3" w:rsidRDefault="0058273D" w:rsidP="00D123CB">
            <w:pPr>
              <w:jc w:val="center"/>
              <w:rPr>
                <w:sz w:val="20"/>
              </w:rPr>
            </w:pPr>
            <w:r w:rsidRPr="00F952C3">
              <w:rPr>
                <w:sz w:val="20"/>
              </w:rPr>
              <w:t>3.94%</w:t>
            </w:r>
          </w:p>
        </w:tc>
      </w:tr>
      <w:tr w:rsidR="0058273D" w:rsidRPr="003A714D" w14:paraId="418D0DBC" w14:textId="77777777" w:rsidTr="00D123CB">
        <w:trPr>
          <w:jc w:val="center"/>
        </w:trPr>
        <w:tc>
          <w:tcPr>
            <w:tcW w:w="1696" w:type="dxa"/>
            <w:vAlign w:val="center"/>
          </w:tcPr>
          <w:p w14:paraId="622EF091" w14:textId="77777777" w:rsidR="0058273D" w:rsidRPr="003A714D" w:rsidRDefault="0058273D" w:rsidP="00D123CB">
            <w:pPr>
              <w:rPr>
                <w:sz w:val="20"/>
              </w:rPr>
            </w:pPr>
            <w:r w:rsidRPr="003A714D">
              <w:rPr>
                <w:sz w:val="20"/>
              </w:rPr>
              <w:t>PV3MAPE</w:t>
            </w:r>
          </w:p>
        </w:tc>
        <w:tc>
          <w:tcPr>
            <w:tcW w:w="1308" w:type="dxa"/>
          </w:tcPr>
          <w:p w14:paraId="3DCFC8C9"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6756A640" w14:textId="77777777" w:rsidR="0058273D" w:rsidRPr="00F952C3" w:rsidRDefault="0058273D" w:rsidP="00D123CB">
            <w:pPr>
              <w:jc w:val="center"/>
              <w:rPr>
                <w:sz w:val="20"/>
              </w:rPr>
            </w:pPr>
            <w:r w:rsidRPr="00F952C3">
              <w:rPr>
                <w:color w:val="000000"/>
                <w:sz w:val="20"/>
              </w:rPr>
              <w:t>508.25</w:t>
            </w:r>
          </w:p>
        </w:tc>
        <w:tc>
          <w:tcPr>
            <w:tcW w:w="2798" w:type="dxa"/>
          </w:tcPr>
          <w:p w14:paraId="0234E049" w14:textId="77777777" w:rsidR="0058273D" w:rsidRPr="00F952C3" w:rsidRDefault="0058273D" w:rsidP="00D123CB">
            <w:pPr>
              <w:jc w:val="center"/>
              <w:rPr>
                <w:sz w:val="20"/>
              </w:rPr>
            </w:pPr>
            <w:r w:rsidRPr="00F952C3">
              <w:rPr>
                <w:sz w:val="20"/>
              </w:rPr>
              <w:t>3.94%</w:t>
            </w:r>
          </w:p>
        </w:tc>
      </w:tr>
      <w:tr w:rsidR="0058273D" w:rsidRPr="003A714D" w14:paraId="4A9C142A" w14:textId="77777777" w:rsidTr="00D123CB">
        <w:trPr>
          <w:jc w:val="center"/>
        </w:trPr>
        <w:tc>
          <w:tcPr>
            <w:tcW w:w="1696" w:type="dxa"/>
            <w:vAlign w:val="center"/>
          </w:tcPr>
          <w:p w14:paraId="5B54CE7F" w14:textId="77777777" w:rsidR="0058273D" w:rsidRPr="003A714D" w:rsidRDefault="0058273D" w:rsidP="00D123CB">
            <w:pPr>
              <w:rPr>
                <w:sz w:val="20"/>
              </w:rPr>
            </w:pPr>
            <w:r w:rsidRPr="003A714D">
              <w:rPr>
                <w:sz w:val="20"/>
              </w:rPr>
              <w:t xml:space="preserve">PV4MAPE </w:t>
            </w:r>
          </w:p>
        </w:tc>
        <w:tc>
          <w:tcPr>
            <w:tcW w:w="1308" w:type="dxa"/>
          </w:tcPr>
          <w:p w14:paraId="5F82CFE0"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386DBA3D" w14:textId="77777777" w:rsidR="0058273D" w:rsidRPr="00F952C3" w:rsidRDefault="0058273D" w:rsidP="00D123CB">
            <w:pPr>
              <w:jc w:val="center"/>
              <w:rPr>
                <w:sz w:val="20"/>
              </w:rPr>
            </w:pPr>
            <w:r w:rsidRPr="00F952C3">
              <w:rPr>
                <w:color w:val="000000"/>
                <w:sz w:val="20"/>
              </w:rPr>
              <w:t>508.43</w:t>
            </w:r>
          </w:p>
        </w:tc>
        <w:tc>
          <w:tcPr>
            <w:tcW w:w="2798" w:type="dxa"/>
          </w:tcPr>
          <w:p w14:paraId="648E8548" w14:textId="77777777" w:rsidR="0058273D" w:rsidRPr="00F952C3" w:rsidRDefault="0058273D" w:rsidP="00D123CB">
            <w:pPr>
              <w:jc w:val="center"/>
              <w:rPr>
                <w:sz w:val="20"/>
              </w:rPr>
            </w:pPr>
            <w:r w:rsidRPr="00F952C3">
              <w:rPr>
                <w:sz w:val="20"/>
              </w:rPr>
              <w:t>3.94%</w:t>
            </w:r>
          </w:p>
        </w:tc>
      </w:tr>
      <w:tr w:rsidR="0058273D" w:rsidRPr="003A714D" w14:paraId="6227C228" w14:textId="77777777" w:rsidTr="00D123CB">
        <w:trPr>
          <w:jc w:val="center"/>
        </w:trPr>
        <w:tc>
          <w:tcPr>
            <w:tcW w:w="1696" w:type="dxa"/>
            <w:vAlign w:val="center"/>
          </w:tcPr>
          <w:p w14:paraId="60BE7682" w14:textId="77777777" w:rsidR="0058273D" w:rsidRPr="003A714D" w:rsidRDefault="0058273D" w:rsidP="00D123CB">
            <w:pPr>
              <w:rPr>
                <w:sz w:val="20"/>
              </w:rPr>
            </w:pPr>
            <w:r w:rsidRPr="003A714D">
              <w:rPr>
                <w:sz w:val="20"/>
              </w:rPr>
              <w:t>PV5MAPE</w:t>
            </w:r>
          </w:p>
        </w:tc>
        <w:tc>
          <w:tcPr>
            <w:tcW w:w="1308" w:type="dxa"/>
          </w:tcPr>
          <w:p w14:paraId="05D53E9C"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60CF90EE" w14:textId="77777777" w:rsidR="0058273D" w:rsidRPr="00F952C3" w:rsidRDefault="0058273D" w:rsidP="00D123CB">
            <w:pPr>
              <w:jc w:val="center"/>
              <w:rPr>
                <w:sz w:val="20"/>
              </w:rPr>
            </w:pPr>
            <w:r w:rsidRPr="00F952C3">
              <w:rPr>
                <w:color w:val="000000"/>
                <w:sz w:val="20"/>
              </w:rPr>
              <w:t>508.28</w:t>
            </w:r>
          </w:p>
        </w:tc>
        <w:tc>
          <w:tcPr>
            <w:tcW w:w="2798" w:type="dxa"/>
          </w:tcPr>
          <w:p w14:paraId="15F7E563" w14:textId="77777777" w:rsidR="0058273D" w:rsidRPr="00F952C3" w:rsidRDefault="0058273D" w:rsidP="00D123CB">
            <w:pPr>
              <w:jc w:val="center"/>
              <w:rPr>
                <w:sz w:val="20"/>
              </w:rPr>
            </w:pPr>
            <w:r w:rsidRPr="00F952C3">
              <w:rPr>
                <w:sz w:val="20"/>
              </w:rPr>
              <w:t>3.94%</w:t>
            </w:r>
          </w:p>
        </w:tc>
      </w:tr>
      <w:tr w:rsidR="0058273D" w:rsidRPr="003A714D" w14:paraId="740176FA" w14:textId="77777777" w:rsidTr="00D123CB">
        <w:trPr>
          <w:jc w:val="center"/>
        </w:trPr>
        <w:tc>
          <w:tcPr>
            <w:tcW w:w="1696" w:type="dxa"/>
            <w:vAlign w:val="center"/>
          </w:tcPr>
          <w:p w14:paraId="2A506567" w14:textId="77777777" w:rsidR="0058273D" w:rsidRPr="003A714D" w:rsidRDefault="0058273D" w:rsidP="00D123CB">
            <w:pPr>
              <w:rPr>
                <w:sz w:val="20"/>
              </w:rPr>
            </w:pPr>
            <w:r w:rsidRPr="003A714D">
              <w:rPr>
                <w:sz w:val="20"/>
              </w:rPr>
              <w:t>PV1MAPF</w:t>
            </w:r>
          </w:p>
        </w:tc>
        <w:tc>
          <w:tcPr>
            <w:tcW w:w="1308" w:type="dxa"/>
          </w:tcPr>
          <w:p w14:paraId="694EF755"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15736CB2" w14:textId="77777777" w:rsidR="0058273D" w:rsidRPr="00F952C3" w:rsidRDefault="0058273D" w:rsidP="00D123CB">
            <w:pPr>
              <w:jc w:val="center"/>
              <w:rPr>
                <w:sz w:val="20"/>
              </w:rPr>
            </w:pPr>
            <w:r w:rsidRPr="00F952C3">
              <w:rPr>
                <w:color w:val="000000"/>
                <w:sz w:val="20"/>
              </w:rPr>
              <w:t>507.46</w:t>
            </w:r>
          </w:p>
        </w:tc>
        <w:tc>
          <w:tcPr>
            <w:tcW w:w="2798" w:type="dxa"/>
          </w:tcPr>
          <w:p w14:paraId="081DA2F6" w14:textId="77777777" w:rsidR="0058273D" w:rsidRPr="00F952C3" w:rsidRDefault="0058273D" w:rsidP="00D123CB">
            <w:pPr>
              <w:jc w:val="center"/>
              <w:rPr>
                <w:sz w:val="20"/>
              </w:rPr>
            </w:pPr>
            <w:r w:rsidRPr="00F952C3">
              <w:rPr>
                <w:sz w:val="20"/>
              </w:rPr>
              <w:t xml:space="preserve"> 5.80%</w:t>
            </w:r>
          </w:p>
        </w:tc>
      </w:tr>
      <w:tr w:rsidR="0058273D" w:rsidRPr="003A714D" w14:paraId="02EF3FDD" w14:textId="77777777" w:rsidTr="00D123CB">
        <w:trPr>
          <w:jc w:val="center"/>
        </w:trPr>
        <w:tc>
          <w:tcPr>
            <w:tcW w:w="1696" w:type="dxa"/>
            <w:vAlign w:val="center"/>
          </w:tcPr>
          <w:p w14:paraId="773E5D30" w14:textId="77777777" w:rsidR="0058273D" w:rsidRPr="003A714D" w:rsidRDefault="0058273D" w:rsidP="00D123CB">
            <w:pPr>
              <w:rPr>
                <w:sz w:val="20"/>
              </w:rPr>
            </w:pPr>
            <w:r w:rsidRPr="003A714D">
              <w:rPr>
                <w:sz w:val="20"/>
              </w:rPr>
              <w:t xml:space="preserve">PV2MAPF </w:t>
            </w:r>
          </w:p>
        </w:tc>
        <w:tc>
          <w:tcPr>
            <w:tcW w:w="1308" w:type="dxa"/>
          </w:tcPr>
          <w:p w14:paraId="2E89EAC2"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7BFFD2BD" w14:textId="77777777" w:rsidR="0058273D" w:rsidRPr="00F952C3" w:rsidRDefault="0058273D" w:rsidP="00D123CB">
            <w:pPr>
              <w:jc w:val="center"/>
              <w:rPr>
                <w:sz w:val="20"/>
              </w:rPr>
            </w:pPr>
            <w:r w:rsidRPr="00F952C3">
              <w:rPr>
                <w:color w:val="000000"/>
                <w:sz w:val="20"/>
              </w:rPr>
              <w:t>507.53</w:t>
            </w:r>
          </w:p>
        </w:tc>
        <w:tc>
          <w:tcPr>
            <w:tcW w:w="2798" w:type="dxa"/>
          </w:tcPr>
          <w:p w14:paraId="20449AB1" w14:textId="77777777" w:rsidR="0058273D" w:rsidRPr="00F952C3" w:rsidRDefault="0058273D" w:rsidP="00D123CB">
            <w:pPr>
              <w:jc w:val="center"/>
              <w:rPr>
                <w:sz w:val="20"/>
              </w:rPr>
            </w:pPr>
            <w:r w:rsidRPr="00F952C3">
              <w:rPr>
                <w:sz w:val="20"/>
              </w:rPr>
              <w:t xml:space="preserve"> 6.19%</w:t>
            </w:r>
          </w:p>
        </w:tc>
      </w:tr>
      <w:tr w:rsidR="0058273D" w:rsidRPr="003A714D" w14:paraId="0AAEA799" w14:textId="77777777" w:rsidTr="00D123CB">
        <w:trPr>
          <w:jc w:val="center"/>
        </w:trPr>
        <w:tc>
          <w:tcPr>
            <w:tcW w:w="1696" w:type="dxa"/>
            <w:vAlign w:val="center"/>
          </w:tcPr>
          <w:p w14:paraId="2F71A04F" w14:textId="77777777" w:rsidR="0058273D" w:rsidRPr="003A714D" w:rsidRDefault="0058273D" w:rsidP="00D123CB">
            <w:pPr>
              <w:rPr>
                <w:sz w:val="20"/>
              </w:rPr>
            </w:pPr>
            <w:r w:rsidRPr="003A714D">
              <w:rPr>
                <w:sz w:val="20"/>
              </w:rPr>
              <w:t>PV3MAPF</w:t>
            </w:r>
          </w:p>
        </w:tc>
        <w:tc>
          <w:tcPr>
            <w:tcW w:w="1308" w:type="dxa"/>
          </w:tcPr>
          <w:p w14:paraId="351FB1D2"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1BF59BD5" w14:textId="77777777" w:rsidR="0058273D" w:rsidRPr="00F952C3" w:rsidRDefault="0058273D" w:rsidP="00D123CB">
            <w:pPr>
              <w:jc w:val="center"/>
              <w:rPr>
                <w:sz w:val="20"/>
              </w:rPr>
            </w:pPr>
            <w:r w:rsidRPr="00F952C3">
              <w:rPr>
                <w:color w:val="000000"/>
                <w:sz w:val="20"/>
              </w:rPr>
              <w:t>507.24</w:t>
            </w:r>
          </w:p>
        </w:tc>
        <w:tc>
          <w:tcPr>
            <w:tcW w:w="2798" w:type="dxa"/>
          </w:tcPr>
          <w:p w14:paraId="38680C5A" w14:textId="77777777" w:rsidR="0058273D" w:rsidRPr="00F952C3" w:rsidRDefault="0058273D" w:rsidP="00D123CB">
            <w:pPr>
              <w:jc w:val="center"/>
              <w:rPr>
                <w:sz w:val="20"/>
              </w:rPr>
            </w:pPr>
            <w:r w:rsidRPr="00F952C3">
              <w:rPr>
                <w:sz w:val="20"/>
              </w:rPr>
              <w:t xml:space="preserve"> 6.14%</w:t>
            </w:r>
          </w:p>
        </w:tc>
      </w:tr>
      <w:tr w:rsidR="0058273D" w:rsidRPr="003A714D" w14:paraId="63FFB17F" w14:textId="77777777" w:rsidTr="00D123CB">
        <w:trPr>
          <w:jc w:val="center"/>
        </w:trPr>
        <w:tc>
          <w:tcPr>
            <w:tcW w:w="1696" w:type="dxa"/>
            <w:vAlign w:val="center"/>
          </w:tcPr>
          <w:p w14:paraId="69605652" w14:textId="77777777" w:rsidR="0058273D" w:rsidRPr="003A714D" w:rsidRDefault="0058273D" w:rsidP="00D123CB">
            <w:pPr>
              <w:rPr>
                <w:sz w:val="20"/>
              </w:rPr>
            </w:pPr>
            <w:r w:rsidRPr="003A714D">
              <w:rPr>
                <w:sz w:val="20"/>
              </w:rPr>
              <w:t xml:space="preserve">PV4MAPF </w:t>
            </w:r>
          </w:p>
        </w:tc>
        <w:tc>
          <w:tcPr>
            <w:tcW w:w="1308" w:type="dxa"/>
          </w:tcPr>
          <w:p w14:paraId="2FDC7B68"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387702AC" w14:textId="77777777" w:rsidR="0058273D" w:rsidRPr="00F952C3" w:rsidRDefault="0058273D" w:rsidP="00D123CB">
            <w:pPr>
              <w:jc w:val="center"/>
              <w:rPr>
                <w:sz w:val="20"/>
              </w:rPr>
            </w:pPr>
            <w:r w:rsidRPr="00F952C3">
              <w:rPr>
                <w:color w:val="000000"/>
                <w:sz w:val="20"/>
              </w:rPr>
              <w:t>507.64</w:t>
            </w:r>
          </w:p>
        </w:tc>
        <w:tc>
          <w:tcPr>
            <w:tcW w:w="2798" w:type="dxa"/>
          </w:tcPr>
          <w:p w14:paraId="48AE5BAC" w14:textId="77777777" w:rsidR="0058273D" w:rsidRPr="00F952C3" w:rsidRDefault="0058273D" w:rsidP="00D123CB">
            <w:pPr>
              <w:jc w:val="center"/>
              <w:rPr>
                <w:sz w:val="20"/>
              </w:rPr>
            </w:pPr>
            <w:r w:rsidRPr="00F952C3">
              <w:rPr>
                <w:sz w:val="20"/>
              </w:rPr>
              <w:t xml:space="preserve"> 5.80%</w:t>
            </w:r>
          </w:p>
        </w:tc>
      </w:tr>
      <w:tr w:rsidR="0058273D" w:rsidRPr="003A714D" w14:paraId="26D1CD22" w14:textId="77777777" w:rsidTr="00D123CB">
        <w:trPr>
          <w:jc w:val="center"/>
        </w:trPr>
        <w:tc>
          <w:tcPr>
            <w:tcW w:w="1696" w:type="dxa"/>
            <w:vAlign w:val="center"/>
          </w:tcPr>
          <w:p w14:paraId="63493112" w14:textId="77777777" w:rsidR="0058273D" w:rsidRPr="003A714D" w:rsidRDefault="0058273D" w:rsidP="00D123CB">
            <w:pPr>
              <w:rPr>
                <w:sz w:val="20"/>
              </w:rPr>
            </w:pPr>
            <w:r w:rsidRPr="003A714D">
              <w:rPr>
                <w:sz w:val="20"/>
              </w:rPr>
              <w:t>PV5MAPF</w:t>
            </w:r>
          </w:p>
        </w:tc>
        <w:tc>
          <w:tcPr>
            <w:tcW w:w="1308" w:type="dxa"/>
          </w:tcPr>
          <w:p w14:paraId="09EC7AE0"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5032961A" w14:textId="77777777" w:rsidR="0058273D" w:rsidRPr="00F952C3" w:rsidRDefault="0058273D" w:rsidP="00D123CB">
            <w:pPr>
              <w:jc w:val="center"/>
              <w:rPr>
                <w:sz w:val="20"/>
              </w:rPr>
            </w:pPr>
            <w:r w:rsidRPr="00F952C3">
              <w:rPr>
                <w:color w:val="000000"/>
                <w:sz w:val="20"/>
              </w:rPr>
              <w:t>507.44</w:t>
            </w:r>
          </w:p>
        </w:tc>
        <w:tc>
          <w:tcPr>
            <w:tcW w:w="2798" w:type="dxa"/>
          </w:tcPr>
          <w:p w14:paraId="3FB53C29" w14:textId="77777777" w:rsidR="0058273D" w:rsidRPr="00F952C3" w:rsidRDefault="0058273D" w:rsidP="00D123CB">
            <w:pPr>
              <w:jc w:val="center"/>
              <w:rPr>
                <w:sz w:val="20"/>
              </w:rPr>
            </w:pPr>
            <w:r w:rsidRPr="00F952C3">
              <w:rPr>
                <w:sz w:val="20"/>
              </w:rPr>
              <w:t xml:space="preserve"> 6.16%</w:t>
            </w:r>
          </w:p>
        </w:tc>
      </w:tr>
      <w:tr w:rsidR="0058273D" w:rsidRPr="003A714D" w14:paraId="7307120E" w14:textId="77777777" w:rsidTr="00D123CB">
        <w:trPr>
          <w:jc w:val="center"/>
        </w:trPr>
        <w:tc>
          <w:tcPr>
            <w:tcW w:w="1696" w:type="dxa"/>
            <w:vAlign w:val="center"/>
          </w:tcPr>
          <w:p w14:paraId="59B75BD4" w14:textId="77777777" w:rsidR="0058273D" w:rsidRPr="003A714D" w:rsidRDefault="0058273D" w:rsidP="00D123CB">
            <w:pPr>
              <w:rPr>
                <w:sz w:val="20"/>
              </w:rPr>
            </w:pPr>
            <w:r w:rsidRPr="003A714D">
              <w:rPr>
                <w:sz w:val="20"/>
              </w:rPr>
              <w:t>PV1MAPI</w:t>
            </w:r>
          </w:p>
        </w:tc>
        <w:tc>
          <w:tcPr>
            <w:tcW w:w="1308" w:type="dxa"/>
          </w:tcPr>
          <w:p w14:paraId="6A4AC2FB"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512717C3" w14:textId="77777777" w:rsidR="0058273D" w:rsidRPr="00F952C3" w:rsidRDefault="0058273D" w:rsidP="00D123CB">
            <w:pPr>
              <w:jc w:val="center"/>
              <w:rPr>
                <w:sz w:val="20"/>
              </w:rPr>
            </w:pPr>
            <w:r w:rsidRPr="00F952C3">
              <w:rPr>
                <w:color w:val="000000"/>
                <w:sz w:val="20"/>
              </w:rPr>
              <w:t>510.51</w:t>
            </w:r>
          </w:p>
        </w:tc>
        <w:tc>
          <w:tcPr>
            <w:tcW w:w="2798" w:type="dxa"/>
          </w:tcPr>
          <w:p w14:paraId="63C761FD" w14:textId="77777777" w:rsidR="0058273D" w:rsidRPr="00F952C3" w:rsidRDefault="0058273D" w:rsidP="00D123CB">
            <w:pPr>
              <w:jc w:val="center"/>
              <w:rPr>
                <w:sz w:val="20"/>
              </w:rPr>
            </w:pPr>
            <w:r w:rsidRPr="00F952C3">
              <w:rPr>
                <w:sz w:val="20"/>
              </w:rPr>
              <w:t xml:space="preserve"> 3.53%</w:t>
            </w:r>
          </w:p>
        </w:tc>
      </w:tr>
      <w:tr w:rsidR="0058273D" w:rsidRPr="003A714D" w14:paraId="07BDC03D" w14:textId="77777777" w:rsidTr="00D123CB">
        <w:trPr>
          <w:jc w:val="center"/>
        </w:trPr>
        <w:tc>
          <w:tcPr>
            <w:tcW w:w="1696" w:type="dxa"/>
            <w:vAlign w:val="center"/>
          </w:tcPr>
          <w:p w14:paraId="714C998B" w14:textId="77777777" w:rsidR="0058273D" w:rsidRPr="003A714D" w:rsidRDefault="0058273D" w:rsidP="00D123CB">
            <w:pPr>
              <w:rPr>
                <w:sz w:val="20"/>
              </w:rPr>
            </w:pPr>
            <w:r w:rsidRPr="003A714D">
              <w:rPr>
                <w:sz w:val="20"/>
              </w:rPr>
              <w:t xml:space="preserve">PV2MAPI </w:t>
            </w:r>
          </w:p>
        </w:tc>
        <w:tc>
          <w:tcPr>
            <w:tcW w:w="1308" w:type="dxa"/>
          </w:tcPr>
          <w:p w14:paraId="22AB7072"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26057E23" w14:textId="77777777" w:rsidR="0058273D" w:rsidRPr="00F952C3" w:rsidRDefault="0058273D" w:rsidP="00D123CB">
            <w:pPr>
              <w:jc w:val="center"/>
              <w:rPr>
                <w:sz w:val="20"/>
              </w:rPr>
            </w:pPr>
            <w:r w:rsidRPr="00F952C3">
              <w:rPr>
                <w:color w:val="000000"/>
                <w:sz w:val="20"/>
              </w:rPr>
              <w:t>510.5</w:t>
            </w:r>
          </w:p>
        </w:tc>
        <w:tc>
          <w:tcPr>
            <w:tcW w:w="2798" w:type="dxa"/>
          </w:tcPr>
          <w:p w14:paraId="3BC4CB73" w14:textId="77777777" w:rsidR="0058273D" w:rsidRPr="00F952C3" w:rsidRDefault="0058273D" w:rsidP="00D123CB">
            <w:pPr>
              <w:jc w:val="center"/>
              <w:rPr>
                <w:sz w:val="20"/>
              </w:rPr>
            </w:pPr>
            <w:r w:rsidRPr="00F952C3">
              <w:rPr>
                <w:sz w:val="20"/>
              </w:rPr>
              <w:t xml:space="preserve"> 3.69%</w:t>
            </w:r>
          </w:p>
        </w:tc>
      </w:tr>
      <w:tr w:rsidR="0058273D" w:rsidRPr="003A714D" w14:paraId="24FABCCE" w14:textId="77777777" w:rsidTr="00D123CB">
        <w:trPr>
          <w:jc w:val="center"/>
        </w:trPr>
        <w:tc>
          <w:tcPr>
            <w:tcW w:w="1696" w:type="dxa"/>
            <w:vAlign w:val="center"/>
          </w:tcPr>
          <w:p w14:paraId="1584A640" w14:textId="77777777" w:rsidR="0058273D" w:rsidRPr="003A714D" w:rsidRDefault="0058273D" w:rsidP="00D123CB">
            <w:pPr>
              <w:rPr>
                <w:sz w:val="20"/>
              </w:rPr>
            </w:pPr>
            <w:r w:rsidRPr="003A714D">
              <w:rPr>
                <w:sz w:val="20"/>
              </w:rPr>
              <w:t>PV3MAPI</w:t>
            </w:r>
          </w:p>
        </w:tc>
        <w:tc>
          <w:tcPr>
            <w:tcW w:w="1308" w:type="dxa"/>
          </w:tcPr>
          <w:p w14:paraId="1CEAA0AC"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70229B88" w14:textId="77777777" w:rsidR="0058273D" w:rsidRPr="00F952C3" w:rsidRDefault="0058273D" w:rsidP="00D123CB">
            <w:pPr>
              <w:jc w:val="center"/>
              <w:rPr>
                <w:sz w:val="20"/>
              </w:rPr>
            </w:pPr>
            <w:r w:rsidRPr="00F952C3">
              <w:rPr>
                <w:color w:val="000000"/>
                <w:sz w:val="20"/>
              </w:rPr>
              <w:t>510.5</w:t>
            </w:r>
          </w:p>
        </w:tc>
        <w:tc>
          <w:tcPr>
            <w:tcW w:w="2798" w:type="dxa"/>
          </w:tcPr>
          <w:p w14:paraId="7AB5A152" w14:textId="77777777" w:rsidR="0058273D" w:rsidRPr="00F952C3" w:rsidRDefault="0058273D" w:rsidP="00D123CB">
            <w:pPr>
              <w:jc w:val="center"/>
              <w:rPr>
                <w:sz w:val="20"/>
              </w:rPr>
            </w:pPr>
            <w:r w:rsidRPr="00F952C3">
              <w:rPr>
                <w:sz w:val="20"/>
              </w:rPr>
              <w:t xml:space="preserve"> 3.22%</w:t>
            </w:r>
          </w:p>
        </w:tc>
      </w:tr>
      <w:tr w:rsidR="0058273D" w:rsidRPr="003A714D" w14:paraId="129A0240" w14:textId="77777777" w:rsidTr="00D123CB">
        <w:trPr>
          <w:jc w:val="center"/>
        </w:trPr>
        <w:tc>
          <w:tcPr>
            <w:tcW w:w="1696" w:type="dxa"/>
            <w:vAlign w:val="center"/>
          </w:tcPr>
          <w:p w14:paraId="4229E19C" w14:textId="77777777" w:rsidR="0058273D" w:rsidRPr="003A714D" w:rsidRDefault="0058273D" w:rsidP="00D123CB">
            <w:pPr>
              <w:rPr>
                <w:sz w:val="20"/>
              </w:rPr>
            </w:pPr>
            <w:r w:rsidRPr="003A714D">
              <w:rPr>
                <w:sz w:val="20"/>
              </w:rPr>
              <w:t xml:space="preserve">PV4MAPI </w:t>
            </w:r>
          </w:p>
        </w:tc>
        <w:tc>
          <w:tcPr>
            <w:tcW w:w="1308" w:type="dxa"/>
          </w:tcPr>
          <w:p w14:paraId="5BC0EF0B"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139F5CE1" w14:textId="77777777" w:rsidR="0058273D" w:rsidRPr="00F952C3" w:rsidRDefault="0058273D" w:rsidP="00D123CB">
            <w:pPr>
              <w:jc w:val="center"/>
              <w:rPr>
                <w:sz w:val="20"/>
              </w:rPr>
            </w:pPr>
            <w:r w:rsidRPr="00F952C3">
              <w:rPr>
                <w:color w:val="000000"/>
                <w:sz w:val="20"/>
              </w:rPr>
              <w:t>510.67</w:t>
            </w:r>
          </w:p>
        </w:tc>
        <w:tc>
          <w:tcPr>
            <w:tcW w:w="2798" w:type="dxa"/>
          </w:tcPr>
          <w:p w14:paraId="63BADC15" w14:textId="77777777" w:rsidR="0058273D" w:rsidRPr="00F952C3" w:rsidRDefault="0058273D" w:rsidP="00D123CB">
            <w:pPr>
              <w:jc w:val="center"/>
              <w:rPr>
                <w:sz w:val="20"/>
              </w:rPr>
            </w:pPr>
            <w:r w:rsidRPr="00F952C3">
              <w:rPr>
                <w:sz w:val="20"/>
              </w:rPr>
              <w:t xml:space="preserve"> 3.64%</w:t>
            </w:r>
          </w:p>
        </w:tc>
      </w:tr>
      <w:tr w:rsidR="0058273D" w:rsidRPr="003A714D" w14:paraId="1BC686A9" w14:textId="77777777" w:rsidTr="00D123CB">
        <w:trPr>
          <w:jc w:val="center"/>
        </w:trPr>
        <w:tc>
          <w:tcPr>
            <w:tcW w:w="1696" w:type="dxa"/>
            <w:vAlign w:val="center"/>
          </w:tcPr>
          <w:p w14:paraId="395504F4" w14:textId="77777777" w:rsidR="0058273D" w:rsidRPr="003A714D" w:rsidRDefault="0058273D" w:rsidP="00D123CB">
            <w:pPr>
              <w:rPr>
                <w:sz w:val="20"/>
              </w:rPr>
            </w:pPr>
            <w:r w:rsidRPr="003A714D">
              <w:rPr>
                <w:sz w:val="20"/>
              </w:rPr>
              <w:t>PV5MAPI</w:t>
            </w:r>
          </w:p>
        </w:tc>
        <w:tc>
          <w:tcPr>
            <w:tcW w:w="1308" w:type="dxa"/>
          </w:tcPr>
          <w:p w14:paraId="0DABC4DC" w14:textId="77777777" w:rsidR="0058273D" w:rsidRPr="00F952C3" w:rsidRDefault="0058273D" w:rsidP="00D123CB">
            <w:pPr>
              <w:jc w:val="center"/>
              <w:rPr>
                <w:sz w:val="20"/>
              </w:rPr>
            </w:pPr>
            <w:r w:rsidRPr="00F952C3">
              <w:rPr>
                <w:rFonts w:ascii="Calibri" w:hAnsi="Calibri" w:cs="Calibri"/>
                <w:sz w:val="20"/>
              </w:rPr>
              <w:t>﻿</w:t>
            </w:r>
            <w:r w:rsidRPr="00F952C3">
              <w:rPr>
                <w:sz w:val="20"/>
              </w:rPr>
              <w:t>46,518</w:t>
            </w:r>
          </w:p>
        </w:tc>
        <w:tc>
          <w:tcPr>
            <w:tcW w:w="1502" w:type="dxa"/>
            <w:vAlign w:val="center"/>
          </w:tcPr>
          <w:p w14:paraId="11ABD297" w14:textId="77777777" w:rsidR="0058273D" w:rsidRPr="00F952C3" w:rsidRDefault="0058273D" w:rsidP="00D123CB">
            <w:pPr>
              <w:jc w:val="center"/>
              <w:rPr>
                <w:sz w:val="20"/>
              </w:rPr>
            </w:pPr>
            <w:r w:rsidRPr="00F952C3">
              <w:rPr>
                <w:color w:val="000000"/>
                <w:sz w:val="20"/>
              </w:rPr>
              <w:t>510.62</w:t>
            </w:r>
          </w:p>
        </w:tc>
        <w:tc>
          <w:tcPr>
            <w:tcW w:w="2798" w:type="dxa"/>
          </w:tcPr>
          <w:p w14:paraId="07BA93D8" w14:textId="77777777" w:rsidR="0058273D" w:rsidRPr="00F952C3" w:rsidRDefault="0058273D" w:rsidP="00D123CB">
            <w:pPr>
              <w:jc w:val="center"/>
              <w:rPr>
                <w:sz w:val="20"/>
              </w:rPr>
            </w:pPr>
            <w:r w:rsidRPr="00F952C3">
              <w:rPr>
                <w:sz w:val="20"/>
              </w:rPr>
              <w:t xml:space="preserve"> 3.66%</w:t>
            </w:r>
          </w:p>
        </w:tc>
      </w:tr>
    </w:tbl>
    <w:p w14:paraId="59180E54" w14:textId="0AEA914C" w:rsidR="0087284F" w:rsidRDefault="0087284F" w:rsidP="004E3C57">
      <w:pPr>
        <w:pStyle w:val="Paragraph"/>
      </w:pPr>
    </w:p>
    <w:p w14:paraId="3DCE3E3A" w14:textId="12A122E2" w:rsidR="003E423F" w:rsidRPr="00075EA6" w:rsidRDefault="003E423F" w:rsidP="003E423F">
      <w:pPr>
        <w:pStyle w:val="Heading2"/>
      </w:pPr>
      <w:r>
        <w:t>The Null Model</w:t>
      </w:r>
      <w:r w:rsidR="00FA2230">
        <w:t xml:space="preserve">, ICC, and Design Effects </w:t>
      </w:r>
      <w:r w:rsidRPr="00075EA6">
        <w:rPr>
          <w:lang w:val="en-GB" w:eastAsia="en-GB"/>
        </w:rPr>
        <w:t xml:space="preserve"> </w:t>
      </w:r>
    </w:p>
    <w:p w14:paraId="63D4CFD9" w14:textId="4FE66451" w:rsidR="0087284F" w:rsidRDefault="009C3171" w:rsidP="003E423F">
      <w:pPr>
        <w:pStyle w:val="Paragraph"/>
      </w:pPr>
      <w:r>
        <w:t xml:space="preserve">After calculated the descriptive statistics, the next step was making the null model. From the null model results, the </w:t>
      </w:r>
      <w:proofErr w:type="gramStart"/>
      <w:r>
        <w:t>ICC</w:t>
      </w:r>
      <w:proofErr w:type="gramEnd"/>
      <w:r>
        <w:t xml:space="preserve"> and the design effect (DE) values can be calculated. These values are needed to identify whether the multilevel analysis is needed or not. </w:t>
      </w:r>
      <w:r w:rsidR="00B57C0C">
        <w:t xml:space="preserve">The </w:t>
      </w:r>
      <w:r w:rsidR="00435D01">
        <w:t>variance of mathematics literacy across the schools</w:t>
      </w:r>
      <w:r w:rsidR="00435D01" w:rsidRPr="00435D01">
        <w:t xml:space="preserve"> </w:t>
      </w:r>
      <m:oMath>
        <m:sSub>
          <m:sSubPr>
            <m:ctrlPr>
              <w:rPr>
                <w:rFonts w:ascii="Cambria Math" w:hAnsi="Cambria Math"/>
                <w:i/>
              </w:rPr>
            </m:ctrlPr>
          </m:sSubPr>
          <m:e>
            <m:r>
              <w:rPr>
                <w:rFonts w:ascii="Cambria Math" w:hAnsi="Cambria Math"/>
              </w:rPr>
              <m:t>(τ</m:t>
            </m:r>
          </m:e>
          <m:sub>
            <m:r>
              <w:rPr>
                <w:rFonts w:ascii="Cambria Math" w:hAnsi="Cambria Math"/>
              </w:rPr>
              <m:t>00</m:t>
            </m:r>
          </m:sub>
        </m:sSub>
        <m:r>
          <w:rPr>
            <w:rFonts w:ascii="Cambria Math" w:hAnsi="Cambria Math"/>
          </w:rPr>
          <m:t>)</m:t>
        </m:r>
      </m:oMath>
      <w:r w:rsidR="00435D01" w:rsidRPr="00435D01">
        <w:t xml:space="preserve">, </w:t>
      </w:r>
      <w:r w:rsidR="00435D01">
        <w:t>variance of mathematics literacy within school</w:t>
      </w:r>
      <w:r w:rsidR="00435D01" w:rsidRPr="00435D01">
        <w:t xml:space="preserve"> </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w:r w:rsidR="00435D01">
        <w:t xml:space="preserve"> t</w:t>
      </w:r>
      <w:r>
        <w:t>he value of ICC and the DE for each of mathematics literacy aspects are shown in the table 4 below.</w:t>
      </w:r>
      <w:r w:rsidR="00435D01">
        <w:t xml:space="preserve"> The</w:t>
      </w:r>
      <w:r>
        <w:t xml:space="preserve"> </w:t>
      </w:r>
      <w:r w:rsidR="00435D01">
        <w:t xml:space="preserve">ICC and DE were calculated by using equation 2 and equation 3 respectively. </w:t>
      </w:r>
    </w:p>
    <w:p w14:paraId="3BA76B36" w14:textId="77777777" w:rsidR="00963E65" w:rsidRDefault="00963E65" w:rsidP="00963E65">
      <w:pPr>
        <w:pStyle w:val="Paragraph"/>
        <w:rPr>
          <w:lang w:val="id-ID"/>
        </w:rPr>
      </w:pPr>
    </w:p>
    <w:p w14:paraId="1B0A5B91" w14:textId="1C45F97E" w:rsidR="00963E65" w:rsidRPr="00963E65" w:rsidRDefault="00545BF9" w:rsidP="00963E65">
      <w:pPr>
        <w:pStyle w:val="Paragraph"/>
        <w:jc w:val="center"/>
        <w:rPr>
          <w:iCs/>
        </w:rPr>
      </w:pPr>
      <w:r w:rsidRPr="00545BF9">
        <w:rPr>
          <w:b/>
          <w:bCs/>
        </w:rPr>
        <w:t>TABLE</w:t>
      </w:r>
      <w:r w:rsidR="00963E65" w:rsidRPr="00963E65">
        <w:rPr>
          <w:b/>
          <w:bCs/>
          <w:lang w:val="id-ID"/>
        </w:rPr>
        <w:t xml:space="preserve"> </w:t>
      </w:r>
      <w:r w:rsidR="00963E65" w:rsidRPr="00545BF9">
        <w:rPr>
          <w:b/>
          <w:bCs/>
        </w:rPr>
        <w:t>4</w:t>
      </w:r>
      <w:r w:rsidR="00963E65" w:rsidRPr="00963E65">
        <w:rPr>
          <w:b/>
          <w:bCs/>
          <w:lang w:val="id-ID"/>
        </w:rPr>
        <w:t>.</w:t>
      </w:r>
      <w:r w:rsidR="00963E65" w:rsidRPr="00963E65">
        <w:rPr>
          <w:lang w:val="id-ID"/>
        </w:rPr>
        <w:t xml:space="preserve"> </w:t>
      </w:r>
      <w:r w:rsidR="00963E65">
        <w:rPr>
          <w:iCs/>
        </w:rPr>
        <w:t>The Value of ICC and DE for Each Mathematics Literacy Aspects</w:t>
      </w: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704"/>
        <w:gridCol w:w="1985"/>
        <w:gridCol w:w="1417"/>
        <w:gridCol w:w="1418"/>
        <w:gridCol w:w="1134"/>
        <w:gridCol w:w="1695"/>
        <w:gridCol w:w="6"/>
      </w:tblGrid>
      <w:tr w:rsidR="00963E65" w:rsidRPr="00963E65" w14:paraId="31239BC0" w14:textId="77777777" w:rsidTr="00963E65">
        <w:trPr>
          <w:gridAfter w:val="1"/>
          <w:wAfter w:w="6" w:type="dxa"/>
          <w:trHeight w:val="58"/>
          <w:jc w:val="center"/>
        </w:trPr>
        <w:tc>
          <w:tcPr>
            <w:tcW w:w="704" w:type="dxa"/>
            <w:tcBorders>
              <w:top w:val="single" w:sz="4" w:space="0" w:color="auto"/>
              <w:bottom w:val="single" w:sz="4" w:space="0" w:color="auto"/>
            </w:tcBorders>
            <w:shd w:val="clear" w:color="auto" w:fill="auto"/>
          </w:tcPr>
          <w:p w14:paraId="77678A43" w14:textId="2AC5AD8A" w:rsidR="00963E65" w:rsidRPr="00963E65" w:rsidRDefault="00963E65" w:rsidP="00963E65">
            <w:pPr>
              <w:pStyle w:val="Paragraph"/>
              <w:ind w:firstLine="0"/>
              <w:rPr>
                <w:b/>
                <w:bCs/>
                <w:sz w:val="18"/>
                <w:szCs w:val="18"/>
                <w:lang w:val="id-ID"/>
              </w:rPr>
            </w:pPr>
            <w:proofErr w:type="spellStart"/>
            <w:r w:rsidRPr="00963E65">
              <w:rPr>
                <w:b/>
                <w:bCs/>
                <w:sz w:val="18"/>
                <w:szCs w:val="18"/>
                <w:lang w:val="id-ID"/>
              </w:rPr>
              <w:t>No</w:t>
            </w:r>
            <w:proofErr w:type="spellEnd"/>
          </w:p>
        </w:tc>
        <w:tc>
          <w:tcPr>
            <w:tcW w:w="1985" w:type="dxa"/>
            <w:tcBorders>
              <w:top w:val="single" w:sz="4" w:space="0" w:color="auto"/>
              <w:bottom w:val="single" w:sz="4" w:space="0" w:color="auto"/>
            </w:tcBorders>
            <w:shd w:val="clear" w:color="auto" w:fill="auto"/>
            <w:vAlign w:val="center"/>
          </w:tcPr>
          <w:p w14:paraId="5A301C35" w14:textId="77777777" w:rsidR="00963E65" w:rsidRPr="00963E65" w:rsidRDefault="00963E65" w:rsidP="00963E65">
            <w:pPr>
              <w:pStyle w:val="Paragraph"/>
              <w:ind w:firstLine="0"/>
              <w:rPr>
                <w:b/>
                <w:bCs/>
                <w:sz w:val="18"/>
                <w:szCs w:val="18"/>
              </w:rPr>
            </w:pPr>
            <w:r w:rsidRPr="00963E65">
              <w:rPr>
                <w:b/>
                <w:bCs/>
                <w:sz w:val="18"/>
                <w:szCs w:val="18"/>
              </w:rPr>
              <w:t xml:space="preserve">Mathematics literacy aspects </w:t>
            </w:r>
          </w:p>
        </w:tc>
        <w:tc>
          <w:tcPr>
            <w:tcW w:w="1417" w:type="dxa"/>
            <w:tcBorders>
              <w:top w:val="single" w:sz="4" w:space="0" w:color="auto"/>
              <w:bottom w:val="single" w:sz="4" w:space="0" w:color="auto"/>
            </w:tcBorders>
            <w:shd w:val="clear" w:color="auto" w:fill="auto"/>
            <w:vAlign w:val="center"/>
          </w:tcPr>
          <w:p w14:paraId="02B6FE71" w14:textId="59624EB7" w:rsidR="00963E65" w:rsidRPr="00963E65" w:rsidRDefault="00000000" w:rsidP="00963E65">
            <w:pPr>
              <w:pStyle w:val="Paragraph"/>
              <w:rPr>
                <w:b/>
                <w:bCs/>
                <w:sz w:val="18"/>
                <w:szCs w:val="18"/>
              </w:rPr>
            </w:pPr>
            <m:oMathPara>
              <m:oMath>
                <m:sSub>
                  <m:sSubPr>
                    <m:ctrlPr>
                      <w:rPr>
                        <w:rFonts w:ascii="Cambria Math" w:hAnsi="Cambria Math"/>
                        <w:b/>
                        <w:bCs/>
                        <w:i/>
                        <w:sz w:val="18"/>
                        <w:szCs w:val="18"/>
                      </w:rPr>
                    </m:ctrlPr>
                  </m:sSubPr>
                  <m:e>
                    <m:r>
                      <m:rPr>
                        <m:sty m:val="bi"/>
                      </m:rPr>
                      <w:rPr>
                        <w:rFonts w:ascii="Cambria Math" w:hAnsi="Cambria Math"/>
                        <w:sz w:val="18"/>
                        <w:szCs w:val="18"/>
                      </w:rPr>
                      <m:t>τ</m:t>
                    </m:r>
                  </m:e>
                  <m:sub>
                    <m:r>
                      <m:rPr>
                        <m:sty m:val="bi"/>
                      </m:rPr>
                      <w:rPr>
                        <w:rFonts w:ascii="Cambria Math" w:hAnsi="Cambria Math"/>
                        <w:sz w:val="18"/>
                        <w:szCs w:val="18"/>
                      </w:rPr>
                      <m:t>00</m:t>
                    </m:r>
                  </m:sub>
                </m:sSub>
              </m:oMath>
            </m:oMathPara>
          </w:p>
        </w:tc>
        <w:tc>
          <w:tcPr>
            <w:tcW w:w="1418" w:type="dxa"/>
            <w:tcBorders>
              <w:top w:val="single" w:sz="4" w:space="0" w:color="auto"/>
              <w:bottom w:val="single" w:sz="4" w:space="0" w:color="auto"/>
            </w:tcBorders>
            <w:shd w:val="clear" w:color="auto" w:fill="auto"/>
            <w:vAlign w:val="center"/>
          </w:tcPr>
          <w:p w14:paraId="414BD8B8" w14:textId="15E11390" w:rsidR="00963E65" w:rsidRPr="00963E65" w:rsidRDefault="00000000" w:rsidP="00963E65">
            <w:pPr>
              <w:pStyle w:val="Paragraph"/>
              <w:rPr>
                <w:b/>
                <w:bCs/>
                <w:sz w:val="18"/>
                <w:szCs w:val="18"/>
              </w:rPr>
            </w:pPr>
            <m:oMathPara>
              <m:oMath>
                <m:sSup>
                  <m:sSupPr>
                    <m:ctrlPr>
                      <w:rPr>
                        <w:rFonts w:ascii="Cambria Math" w:hAnsi="Cambria Math"/>
                        <w:b/>
                        <w:bCs/>
                        <w:i/>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oMath>
            </m:oMathPara>
          </w:p>
        </w:tc>
        <w:tc>
          <w:tcPr>
            <w:tcW w:w="1134" w:type="dxa"/>
            <w:tcBorders>
              <w:top w:val="single" w:sz="4" w:space="0" w:color="auto"/>
              <w:bottom w:val="single" w:sz="4" w:space="0" w:color="auto"/>
            </w:tcBorders>
            <w:shd w:val="clear" w:color="auto" w:fill="auto"/>
            <w:vAlign w:val="center"/>
          </w:tcPr>
          <w:p w14:paraId="15C5D002" w14:textId="77777777" w:rsidR="00963E65" w:rsidRPr="00963E65" w:rsidRDefault="00963E65" w:rsidP="00963E65">
            <w:pPr>
              <w:pStyle w:val="Paragraph"/>
              <w:rPr>
                <w:b/>
                <w:bCs/>
                <w:sz w:val="18"/>
                <w:szCs w:val="18"/>
              </w:rPr>
            </w:pPr>
            <w:r w:rsidRPr="00963E65">
              <w:rPr>
                <w:b/>
                <w:bCs/>
                <w:sz w:val="18"/>
                <w:szCs w:val="18"/>
              </w:rPr>
              <w:t>ICC</w:t>
            </w:r>
          </w:p>
        </w:tc>
        <w:tc>
          <w:tcPr>
            <w:tcW w:w="1695" w:type="dxa"/>
            <w:tcBorders>
              <w:top w:val="single" w:sz="4" w:space="0" w:color="auto"/>
              <w:bottom w:val="single" w:sz="4" w:space="0" w:color="auto"/>
            </w:tcBorders>
            <w:shd w:val="clear" w:color="auto" w:fill="auto"/>
            <w:vAlign w:val="center"/>
          </w:tcPr>
          <w:p w14:paraId="60C999F1" w14:textId="77777777" w:rsidR="00963E65" w:rsidRPr="00963E65" w:rsidRDefault="00963E65" w:rsidP="00963E65">
            <w:pPr>
              <w:pStyle w:val="Paragraph"/>
              <w:rPr>
                <w:b/>
                <w:bCs/>
                <w:i/>
                <w:iCs/>
                <w:sz w:val="18"/>
                <w:szCs w:val="18"/>
              </w:rPr>
            </w:pPr>
            <w:r w:rsidRPr="00963E65">
              <w:rPr>
                <w:b/>
                <w:bCs/>
                <w:i/>
                <w:iCs/>
                <w:sz w:val="18"/>
                <w:szCs w:val="18"/>
              </w:rPr>
              <w:t xml:space="preserve">Design effect </w:t>
            </w:r>
          </w:p>
        </w:tc>
      </w:tr>
      <w:tr w:rsidR="00963E65" w:rsidRPr="00963E65" w14:paraId="2BBDE6B8" w14:textId="77777777" w:rsidTr="00963E65">
        <w:trPr>
          <w:trHeight w:val="68"/>
          <w:jc w:val="center"/>
        </w:trPr>
        <w:tc>
          <w:tcPr>
            <w:tcW w:w="704" w:type="dxa"/>
          </w:tcPr>
          <w:p w14:paraId="3E1AEF7D" w14:textId="77777777" w:rsidR="00963E65" w:rsidRPr="00963E65" w:rsidRDefault="00963E65" w:rsidP="00963E65">
            <w:pPr>
              <w:pStyle w:val="Paragraph"/>
              <w:ind w:firstLine="0"/>
              <w:jc w:val="center"/>
              <w:rPr>
                <w:sz w:val="18"/>
                <w:szCs w:val="18"/>
                <w:lang w:val="id-ID"/>
              </w:rPr>
            </w:pPr>
            <w:r w:rsidRPr="00963E65">
              <w:rPr>
                <w:sz w:val="18"/>
                <w:szCs w:val="18"/>
                <w:lang w:val="id-ID"/>
              </w:rPr>
              <w:t>1.</w:t>
            </w:r>
          </w:p>
        </w:tc>
        <w:tc>
          <w:tcPr>
            <w:tcW w:w="1985" w:type="dxa"/>
          </w:tcPr>
          <w:p w14:paraId="2A6266FA" w14:textId="77777777" w:rsidR="00963E65" w:rsidRPr="00963E65" w:rsidRDefault="00963E65" w:rsidP="00963E65">
            <w:pPr>
              <w:pStyle w:val="Paragraph"/>
              <w:rPr>
                <w:i/>
                <w:iCs/>
              </w:rPr>
            </w:pPr>
            <w:r w:rsidRPr="00963E65">
              <w:rPr>
                <w:i/>
                <w:iCs/>
              </w:rPr>
              <w:t>Employ</w:t>
            </w:r>
          </w:p>
        </w:tc>
        <w:tc>
          <w:tcPr>
            <w:tcW w:w="1417" w:type="dxa"/>
          </w:tcPr>
          <w:p w14:paraId="1C15531F" w14:textId="77777777" w:rsidR="00963E65" w:rsidRPr="00963E65" w:rsidRDefault="00963E65" w:rsidP="00963E65">
            <w:pPr>
              <w:pStyle w:val="Paragraph"/>
            </w:pPr>
            <w:r w:rsidRPr="00963E65">
              <w:rPr>
                <w:lang w:val="id-ID"/>
              </w:rPr>
              <w:t>2,461.02</w:t>
            </w:r>
          </w:p>
        </w:tc>
        <w:tc>
          <w:tcPr>
            <w:tcW w:w="1418" w:type="dxa"/>
          </w:tcPr>
          <w:p w14:paraId="79229EFB" w14:textId="77777777" w:rsidR="00963E65" w:rsidRPr="00963E65" w:rsidRDefault="00963E65" w:rsidP="00963E65">
            <w:pPr>
              <w:pStyle w:val="Paragraph"/>
            </w:pPr>
            <w:r w:rsidRPr="00963E65">
              <w:rPr>
                <w:lang w:val="id-ID"/>
              </w:rPr>
              <w:t>2,066.38</w:t>
            </w:r>
          </w:p>
        </w:tc>
        <w:tc>
          <w:tcPr>
            <w:tcW w:w="1134" w:type="dxa"/>
          </w:tcPr>
          <w:p w14:paraId="4039F167" w14:textId="77777777" w:rsidR="00963E65" w:rsidRPr="00963E65" w:rsidRDefault="00963E65" w:rsidP="00963E65">
            <w:pPr>
              <w:pStyle w:val="Paragraph"/>
            </w:pPr>
            <w:r w:rsidRPr="00963E65">
              <w:t>0.54</w:t>
            </w:r>
          </w:p>
        </w:tc>
        <w:tc>
          <w:tcPr>
            <w:tcW w:w="1701" w:type="dxa"/>
            <w:gridSpan w:val="2"/>
          </w:tcPr>
          <w:p w14:paraId="09EEDDC1" w14:textId="77777777" w:rsidR="00963E65" w:rsidRPr="00963E65" w:rsidRDefault="00963E65" w:rsidP="00963E65">
            <w:pPr>
              <w:pStyle w:val="Paragraph"/>
            </w:pPr>
            <w:r w:rsidRPr="00963E65">
              <w:t>10.42</w:t>
            </w:r>
          </w:p>
        </w:tc>
      </w:tr>
      <w:tr w:rsidR="00963E65" w:rsidRPr="00963E65" w14:paraId="3142F7B7" w14:textId="77777777" w:rsidTr="00963E65">
        <w:trPr>
          <w:trHeight w:val="68"/>
          <w:jc w:val="center"/>
        </w:trPr>
        <w:tc>
          <w:tcPr>
            <w:tcW w:w="704" w:type="dxa"/>
          </w:tcPr>
          <w:p w14:paraId="2F48DDC3" w14:textId="77777777" w:rsidR="00963E65" w:rsidRPr="00963E65" w:rsidRDefault="00963E65" w:rsidP="00963E65">
            <w:pPr>
              <w:pStyle w:val="Paragraph"/>
              <w:ind w:firstLine="0"/>
              <w:jc w:val="center"/>
              <w:rPr>
                <w:sz w:val="18"/>
                <w:szCs w:val="18"/>
                <w:lang w:val="id-ID"/>
              </w:rPr>
            </w:pPr>
            <w:r w:rsidRPr="00963E65">
              <w:rPr>
                <w:sz w:val="18"/>
                <w:szCs w:val="18"/>
                <w:lang w:val="id-ID"/>
              </w:rPr>
              <w:t>2.</w:t>
            </w:r>
          </w:p>
        </w:tc>
        <w:tc>
          <w:tcPr>
            <w:tcW w:w="1985" w:type="dxa"/>
          </w:tcPr>
          <w:p w14:paraId="19704F2B" w14:textId="77777777" w:rsidR="00963E65" w:rsidRPr="00963E65" w:rsidRDefault="00963E65" w:rsidP="00963E65">
            <w:pPr>
              <w:pStyle w:val="Paragraph"/>
              <w:rPr>
                <w:i/>
                <w:iCs/>
              </w:rPr>
            </w:pPr>
            <w:r w:rsidRPr="00963E65">
              <w:rPr>
                <w:i/>
                <w:iCs/>
              </w:rPr>
              <w:t>Formulate</w:t>
            </w:r>
          </w:p>
        </w:tc>
        <w:tc>
          <w:tcPr>
            <w:tcW w:w="1417" w:type="dxa"/>
          </w:tcPr>
          <w:p w14:paraId="0499E97C" w14:textId="77777777" w:rsidR="00963E65" w:rsidRPr="00963E65" w:rsidRDefault="00963E65" w:rsidP="00963E65">
            <w:pPr>
              <w:pStyle w:val="Paragraph"/>
            </w:pPr>
            <w:r w:rsidRPr="00963E65">
              <w:rPr>
                <w:lang w:val="id-ID"/>
              </w:rPr>
              <w:t>3,039.65</w:t>
            </w:r>
          </w:p>
        </w:tc>
        <w:tc>
          <w:tcPr>
            <w:tcW w:w="1418" w:type="dxa"/>
          </w:tcPr>
          <w:p w14:paraId="1F9EEAC1" w14:textId="77777777" w:rsidR="00963E65" w:rsidRPr="00963E65" w:rsidRDefault="00963E65" w:rsidP="00963E65">
            <w:pPr>
              <w:pStyle w:val="Paragraph"/>
            </w:pPr>
            <w:r w:rsidRPr="00963E65">
              <w:rPr>
                <w:lang w:val="id-ID"/>
              </w:rPr>
              <w:t>2,816.09</w:t>
            </w:r>
          </w:p>
        </w:tc>
        <w:tc>
          <w:tcPr>
            <w:tcW w:w="1134" w:type="dxa"/>
          </w:tcPr>
          <w:p w14:paraId="2EA0A423" w14:textId="77777777" w:rsidR="00963E65" w:rsidRPr="00963E65" w:rsidRDefault="00963E65" w:rsidP="00963E65">
            <w:pPr>
              <w:pStyle w:val="Paragraph"/>
            </w:pPr>
            <w:r w:rsidRPr="00963E65">
              <w:t>0.52</w:t>
            </w:r>
          </w:p>
        </w:tc>
        <w:tc>
          <w:tcPr>
            <w:tcW w:w="1701" w:type="dxa"/>
            <w:gridSpan w:val="2"/>
          </w:tcPr>
          <w:p w14:paraId="63C5AB21" w14:textId="77777777" w:rsidR="00963E65" w:rsidRPr="00963E65" w:rsidRDefault="00963E65" w:rsidP="00963E65">
            <w:pPr>
              <w:pStyle w:val="Paragraph"/>
            </w:pPr>
            <w:r w:rsidRPr="00963E65">
              <w:t>6.41</w:t>
            </w:r>
          </w:p>
        </w:tc>
      </w:tr>
      <w:tr w:rsidR="00963E65" w:rsidRPr="00963E65" w14:paraId="5E0DE2F0" w14:textId="77777777" w:rsidTr="00963E65">
        <w:trPr>
          <w:trHeight w:val="68"/>
          <w:jc w:val="center"/>
        </w:trPr>
        <w:tc>
          <w:tcPr>
            <w:tcW w:w="704" w:type="dxa"/>
          </w:tcPr>
          <w:p w14:paraId="71260271" w14:textId="77777777" w:rsidR="00963E65" w:rsidRPr="00963E65" w:rsidRDefault="00963E65" w:rsidP="00963E65">
            <w:pPr>
              <w:pStyle w:val="Paragraph"/>
              <w:ind w:firstLine="0"/>
              <w:jc w:val="center"/>
              <w:rPr>
                <w:sz w:val="18"/>
                <w:szCs w:val="18"/>
                <w:lang w:val="id-ID"/>
              </w:rPr>
            </w:pPr>
            <w:r w:rsidRPr="00963E65">
              <w:rPr>
                <w:sz w:val="18"/>
                <w:szCs w:val="18"/>
                <w:lang w:val="id-ID"/>
              </w:rPr>
              <w:t>3.</w:t>
            </w:r>
          </w:p>
        </w:tc>
        <w:tc>
          <w:tcPr>
            <w:tcW w:w="1985" w:type="dxa"/>
          </w:tcPr>
          <w:p w14:paraId="5A389685" w14:textId="77777777" w:rsidR="00963E65" w:rsidRPr="00963E65" w:rsidRDefault="00963E65" w:rsidP="00963E65">
            <w:pPr>
              <w:pStyle w:val="Paragraph"/>
              <w:rPr>
                <w:i/>
                <w:iCs/>
              </w:rPr>
            </w:pPr>
            <w:r w:rsidRPr="00963E65">
              <w:rPr>
                <w:i/>
                <w:iCs/>
              </w:rPr>
              <w:t>Interpret</w:t>
            </w:r>
          </w:p>
        </w:tc>
        <w:tc>
          <w:tcPr>
            <w:tcW w:w="1417" w:type="dxa"/>
            <w:vAlign w:val="bottom"/>
          </w:tcPr>
          <w:p w14:paraId="47F354B1" w14:textId="77777777" w:rsidR="00963E65" w:rsidRPr="00963E65" w:rsidRDefault="00963E65" w:rsidP="00963E65">
            <w:pPr>
              <w:pStyle w:val="Paragraph"/>
            </w:pPr>
            <w:r w:rsidRPr="00963E65">
              <w:rPr>
                <w:lang w:val="id-ID"/>
              </w:rPr>
              <w:t>2,367.34</w:t>
            </w:r>
          </w:p>
        </w:tc>
        <w:tc>
          <w:tcPr>
            <w:tcW w:w="1418" w:type="dxa"/>
          </w:tcPr>
          <w:p w14:paraId="5D04E51D" w14:textId="77777777" w:rsidR="00963E65" w:rsidRPr="00963E65" w:rsidRDefault="00963E65" w:rsidP="00963E65">
            <w:pPr>
              <w:pStyle w:val="Paragraph"/>
            </w:pPr>
            <w:r w:rsidRPr="00963E65">
              <w:rPr>
                <w:lang w:val="id-ID"/>
              </w:rPr>
              <w:t>1,716.30</w:t>
            </w:r>
          </w:p>
        </w:tc>
        <w:tc>
          <w:tcPr>
            <w:tcW w:w="1134" w:type="dxa"/>
          </w:tcPr>
          <w:p w14:paraId="1FD66912" w14:textId="77777777" w:rsidR="00963E65" w:rsidRPr="00963E65" w:rsidRDefault="00963E65" w:rsidP="00963E65">
            <w:pPr>
              <w:pStyle w:val="Paragraph"/>
            </w:pPr>
            <w:r w:rsidRPr="00963E65">
              <w:t>0.58</w:t>
            </w:r>
          </w:p>
        </w:tc>
        <w:tc>
          <w:tcPr>
            <w:tcW w:w="1701" w:type="dxa"/>
            <w:gridSpan w:val="2"/>
          </w:tcPr>
          <w:p w14:paraId="7F89A1B7" w14:textId="77777777" w:rsidR="00963E65" w:rsidRPr="00963E65" w:rsidRDefault="00963E65" w:rsidP="00963E65">
            <w:pPr>
              <w:pStyle w:val="Paragraph"/>
            </w:pPr>
            <w:r w:rsidRPr="00963E65">
              <w:t>5.93</w:t>
            </w:r>
          </w:p>
        </w:tc>
      </w:tr>
    </w:tbl>
    <w:p w14:paraId="4B081B63" w14:textId="77777777" w:rsidR="009C3171" w:rsidRDefault="009C3171" w:rsidP="003E423F">
      <w:pPr>
        <w:pStyle w:val="Paragraph"/>
      </w:pPr>
    </w:p>
    <w:p w14:paraId="34AC870D" w14:textId="6FF9D875" w:rsidR="0087284F" w:rsidRDefault="00545BF9" w:rsidP="00656625">
      <w:pPr>
        <w:pStyle w:val="Paragraph"/>
      </w:pPr>
      <w:r>
        <w:t>From the table 4,</w:t>
      </w:r>
      <w:r w:rsidR="007D5DA0">
        <w:t xml:space="preserve"> students mathematics literacy ability for each aspect varies in the same school. It proven by the </w:t>
      </w:r>
      <w:r w:rsidR="00B57C0C">
        <w:t xml:space="preserve">non-zero </w:t>
      </w:r>
      <w:r w:rsidR="007D5DA0">
        <w:t xml:space="preserve">value of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007D5DA0">
        <w:t xml:space="preserve"> for each aspect.</w:t>
      </w:r>
      <w:r w:rsidR="00435D01">
        <w:t xml:space="preserve"> The mathematics literacy also varies across the schools, proven by the non-zero </w:t>
      </w:r>
      <w:r w:rsidR="00435D01" w:rsidRPr="00435D01">
        <w:rPr>
          <w:rFonts w:ascii="Cambria Math" w:hAnsi="Cambria Math"/>
          <w:b/>
          <w:bCs/>
          <w:i/>
          <w:sz w:val="18"/>
          <w:szCs w:val="18"/>
        </w:rPr>
        <w:br/>
      </w:r>
      <m:oMath>
        <m:sSub>
          <m:sSubPr>
            <m:ctrlPr>
              <w:rPr>
                <w:rFonts w:ascii="Cambria Math" w:hAnsi="Cambria Math"/>
                <w:b/>
                <w:bCs/>
                <w:i/>
                <w:sz w:val="18"/>
                <w:szCs w:val="18"/>
              </w:rPr>
            </m:ctrlPr>
          </m:sSubPr>
          <m:e>
            <m:r>
              <m:rPr>
                <m:sty m:val="bi"/>
              </m:rPr>
              <w:rPr>
                <w:rFonts w:ascii="Cambria Math" w:hAnsi="Cambria Math"/>
                <w:sz w:val="18"/>
                <w:szCs w:val="18"/>
              </w:rPr>
              <m:t>τ</m:t>
            </m:r>
          </m:e>
          <m:sub>
            <m:r>
              <m:rPr>
                <m:sty m:val="bi"/>
              </m:rPr>
              <w:rPr>
                <w:rFonts w:ascii="Cambria Math" w:hAnsi="Cambria Math"/>
                <w:sz w:val="18"/>
                <w:szCs w:val="18"/>
              </w:rPr>
              <m:t>00</m:t>
            </m:r>
          </m:sub>
        </m:sSub>
      </m:oMath>
      <w:r w:rsidR="00435D01">
        <w:t xml:space="preserve">. </w:t>
      </w:r>
      <w:r w:rsidR="00B57C0C">
        <w:t xml:space="preserve">The ICC of each aspect is greater that 0.5 and the design effect is also greater than two, it indicates that multilevel modelling analysis is needed. </w:t>
      </w:r>
    </w:p>
    <w:p w14:paraId="2D99D524" w14:textId="3A88C667" w:rsidR="00656625" w:rsidRPr="00075EA6" w:rsidRDefault="00656625" w:rsidP="00656625">
      <w:pPr>
        <w:pStyle w:val="Heading2"/>
      </w:pPr>
      <w:r>
        <w:t xml:space="preserve">The Multilevel Model </w:t>
      </w:r>
      <w:r w:rsidRPr="00075EA6">
        <w:rPr>
          <w:lang w:val="en-GB" w:eastAsia="en-GB"/>
        </w:rPr>
        <w:t xml:space="preserve"> </w:t>
      </w:r>
    </w:p>
    <w:p w14:paraId="13B81A56" w14:textId="7669B8F7" w:rsidR="0087284F" w:rsidRDefault="00140327" w:rsidP="00656625">
      <w:pPr>
        <w:pStyle w:val="Paragraph"/>
      </w:pPr>
      <w:r>
        <w:t xml:space="preserve">Research question number 2 can be answered by making model 1. The results of model 1 for each </w:t>
      </w:r>
      <w:r w:rsidR="000E2DC0">
        <w:t>aspect</w:t>
      </w:r>
      <w:r>
        <w:t xml:space="preserve"> are shown on the table 5, table 6, and table 7. </w:t>
      </w:r>
      <w:r w:rsidR="00AB086A">
        <w:t>It can be seen on those tables, on both model 1 and model 2, teacher support is a significant predictor for employ, formulate, and interpret with non-zero</w:t>
      </w:r>
      <w:r w:rsidR="001C2F70">
        <w:t xml:space="preserve">  </w:t>
      </w:r>
      <m:oMath>
        <m:sSub>
          <m:sSubPr>
            <m:ctrlPr>
              <w:rPr>
                <w:rFonts w:ascii="Cambria Math" w:hAnsi="Cambria Math"/>
              </w:rPr>
            </m:ctrlPr>
          </m:sSubPr>
          <m:e>
            <m:acc>
              <m:accPr>
                <m:ctrlPr>
                  <w:rPr>
                    <w:rFonts w:ascii="Cambria Math" w:hAnsi="Cambria Math"/>
                    <w:i/>
                  </w:rPr>
                </m:ctrlPr>
              </m:accPr>
              <m:e>
                <m:r>
                  <w:rPr>
                    <w:rFonts w:ascii="Cambria Math" w:hAnsi="Cambria Math"/>
                  </w:rPr>
                  <m:t>γ</m:t>
                </m:r>
              </m:e>
            </m:acc>
          </m:e>
          <m:sub>
            <m:r>
              <w:rPr>
                <w:rFonts w:ascii="Cambria Math" w:hAnsi="Cambria Math"/>
              </w:rPr>
              <m:t>10</m:t>
            </m:r>
          </m:sub>
        </m:sSub>
        <m:r>
          <w:rPr>
            <w:rFonts w:ascii="Cambria Math" w:hAnsi="Cambria Math"/>
          </w:rPr>
          <m:t xml:space="preserve"> </m:t>
        </m:r>
      </m:oMath>
      <w:r w:rsidR="001C2F70">
        <w:t xml:space="preserve"> and </w:t>
      </w:r>
      <m:oMath>
        <m:r>
          <w:rPr>
            <w:rFonts w:ascii="Cambria Math" w:hAnsi="Cambria Math"/>
          </w:rPr>
          <m:t>ρ</m:t>
        </m:r>
        <m:r>
          <m:rPr>
            <m:sty m:val="p"/>
          </m:rPr>
          <w:rPr>
            <w:rFonts w:ascii="Cambria Math" w:hAnsi="Cambria Math"/>
          </w:rPr>
          <m:t>&lt;0,001</m:t>
        </m:r>
      </m:oMath>
      <w:r w:rsidR="001C2F70">
        <w:t>. These findings are in line with some previous studies related to teacher supports</w:t>
      </w:r>
      <w:r w:rsidR="009C78E0">
        <w:t xml:space="preserve"> </w:t>
      </w:r>
      <w:r w:rsidR="009C78E0">
        <w:fldChar w:fldCharType="begin" w:fldLock="1"/>
      </w:r>
      <w:r w:rsidR="009C78E0">
        <w:instrText>ADDIN CSL_CITATION {"citationItems":[{"id":"ITEM-1","itemData":{"DOI":"10.1080/00220671.2016.1204260","ISSN":"19400675","abstract":"The authors examined the relationships among teacher classroom practices, student motivation, and mathematics achievement in high school. The data for this study was drawn from the base-year data of High School Longitudinal Study of 2009. Structural equation modeling method was used to estimate the relationships among variables. The results indicate that conceptual teaching positively affected student mathematics achievement, whereas procedural emphasis in mathematics instruction had a negative effect. Teacher support influenced student mathematics achievement indirectly through students' mathematics self-efficacy, and also influenced students' interest in mathematics courses. Finally, students with higher levels of family socioeconomic status and prior achievement were more likely to have teachers who use conceptual teaching strategies. Students with higher prior achievement were also more likely to perceive higher levels of teacher support. The findings have theoretical and practical implications.","author":[{"dropping-particle":"","family":"Yu","given":"Rongrong","non-dropping-particle":"","parse-names":false,"suffix":""},{"dropping-particle":"","family":"Singh","given":"Kusum","non-dropping-particle":"","parse-names":false,"suffix":""}],"container-title":"Journal of Educational Research","id":"ITEM-1","issue":"1","issued":{"date-parts":[["2018"]]},"page":"81-94","publisher":"Taylor &amp; Francis","title":"Teacher support, instructional practices, student motivation, and mathematics achievement in high school","type":"article-journal","volume":"111"},"uris":["http://www.mendeley.com/documents/?uuid=eb6180a6-415e-4371-9fce-9426a4242e54"]}],"mendeley":{"formattedCitation":"[5]","plainTextFormattedCitation":"[5]","previouslyFormattedCitation":"[5]"},"properties":{"noteIndex":0},"schema":"https://github.com/citation-style-language/schema/raw/master/csl-citation.json"}</w:instrText>
      </w:r>
      <w:r w:rsidR="009C78E0">
        <w:fldChar w:fldCharType="separate"/>
      </w:r>
      <w:r w:rsidR="009C78E0" w:rsidRPr="009C78E0">
        <w:rPr>
          <w:noProof/>
        </w:rPr>
        <w:t>[5]</w:t>
      </w:r>
      <w:r w:rsidR="009C78E0">
        <w:fldChar w:fldCharType="end"/>
      </w:r>
      <w:r w:rsidR="000B3EB7">
        <w:fldChar w:fldCharType="begin" w:fldLock="1"/>
      </w:r>
      <w:r w:rsidR="00406C5E">
        <w:instrText>ADDIN CSL_CITATION {"citationItems":[{"id":"ITEM-1","itemData":{"DOI":"10.1037/0022-0663.99.1.83","ISSN":"00220663","abstract":"This research examined whether 5th-grade students' (N = 602) perceptions of the classroom social environment (teacher support, promotion of mutual respect, promotion of task-related interaction, student support) were related to their engagement in the classroom (self-regulation and task-related interaction) and whether those relations were mediated by personal motivational beliefs (mastery goals, academic and social efficacy). Teacher support, promotion of interaction, and student support were related to both types of engagement, and those relations were fully or partially mediated by motivational beliefs. Relations with promoting mutual respect were not significant. Copyright 2007 by the American Psychological Association.","author":[{"dropping-particle":"","family":"Patrick","given":"Helen","non-dropping-particle":"","parse-names":false,"suffix":""},{"dropping-particle":"","family":"Ryan","given":"Allison M.","non-dropping-particle":"","parse-names":false,"suffix":""},{"dropping-particle":"","family":"Kaplan","given":"Avi","non-dropping-particle":"","parse-names":false,"suffix":""}],"container-title":"Journal of Educational Psychology","id":"ITEM-1","issue":"1","issued":{"date-parts":[["2007"]]},"page":"83-98","title":"Early adolescents' perceptions of the classroom social environment, motivational beliefs, and engagement","type":"article-journal","volume":"99"},"uris":["http://www.mendeley.com/documents/?uuid=58251dd4-e11e-4c86-a1b8-03833447656a"]}],"mendeley":{"formattedCitation":"[6]","plainTextFormattedCitation":"[6]","previouslyFormattedCitation":"[6]"},"properties":{"noteIndex":0},"schema":"https://github.com/citation-style-language/schema/raw/master/csl-citation.json"}</w:instrText>
      </w:r>
      <w:r w:rsidR="000B3EB7">
        <w:fldChar w:fldCharType="separate"/>
      </w:r>
      <w:r w:rsidR="000B3EB7" w:rsidRPr="009C78E0">
        <w:rPr>
          <w:noProof/>
        </w:rPr>
        <w:t>[6]</w:t>
      </w:r>
      <w:r w:rsidR="000B3EB7">
        <w:fldChar w:fldCharType="end"/>
      </w:r>
      <w:r w:rsidR="009C78E0">
        <w:fldChar w:fldCharType="begin" w:fldLock="1"/>
      </w:r>
      <w:r w:rsidR="00406C5E">
        <w:instrText>ADDIN CSL_CITATION {"citationItems":[{"id":"ITEM-1","itemData":{"DOI":"10.1007/s11409-020-09249-1","ISSN":"15561631","abstract":"The purpose of the present study was to (a) determine relationships among teacher contextual variables including support and cognitive activation, student motivational beliefs, engagement, and mathematics literacy and (b) to examine whether different types of motivational and behavioral engagement variables act as viable mediators between the classroom context and student mathematics literacy. Data were extracted from the 2012 PISA, with a sample of N = 4978 students. Using structural equation modeling, the results indicated that students’ perceptions of teacher support had a positive effect on their motivational beliefs, behaviors, and mathematics literacy. In particular, perceived teacher cognitive activation had a positive direct effect and an indirect effect through student self-efficacy beliefs, and persistence on mathematics achievement. In addition, self-efficacy resulted in significant paths on their intention to pursue careers in mathematics and work ethic, but a negative path was found between work ethic and mathematics achievement. Implications for educational practice and future research directions are also discussed.","author":[{"dropping-particle":"","family":"Kitsantas","given":"Anastasia","non-dropping-particle":"","parse-names":false,"suffix":""},{"dropping-particle":"","family":"Cleary","given":"Timothy J.","non-dropping-particle":"","parse-names":false,"suffix":""},{"dropping-particle":"","family":"Whitehead","given":"Aubrey","non-dropping-particle":"","parse-names":false,"suffix":""},{"dropping-particle":"","family":"Cheema","given":"Jehanzeb","non-dropping-particle":"","parse-names":false,"suffix":""}],"container-title":"Metacognition and Learning","id":"ITEM-1","issue":"2","issued":{"date-parts":[["2021"]]},"page":"255-273","title":"Relations among classroom context, student motivation, and mathematics literacy: a social cognitive perspective","type":"article-journal","volume":"16"},"uris":["http://www.mendeley.com/documents/?uuid=a2586b96-65a5-4029-b408-d28df373a63a"]}],"mendeley":{"formattedCitation":"[7]","manualFormatting":"[7]","plainTextFormattedCitation":"[7]","previouslyFormattedCitation":"[7]"},"properties":{"noteIndex":0},"schema":"https://github.com/citation-style-language/schema/raw/master/csl-citation.json"}</w:instrText>
      </w:r>
      <w:r w:rsidR="009C78E0">
        <w:fldChar w:fldCharType="separate"/>
      </w:r>
      <w:r w:rsidR="009C78E0" w:rsidRPr="009C78E0">
        <w:rPr>
          <w:noProof/>
        </w:rPr>
        <w:t>[7]</w:t>
      </w:r>
      <w:r w:rsidR="009C78E0">
        <w:fldChar w:fldCharType="end"/>
      </w:r>
      <w:r w:rsidR="001C2F70">
        <w:t xml:space="preserve">. </w:t>
      </w:r>
      <w:r w:rsidR="000B3EB7">
        <w:t xml:space="preserve">From those studies, teacher support gives indirect effect to mathematics achievement or mathematics literacy by improving students’ motivation, interest, and self-efficacy during the classroom activities. The high motivation, self-efficacy, and interest will improve students’ achievement. </w:t>
      </w:r>
    </w:p>
    <w:p w14:paraId="4C485E2F" w14:textId="0F52036C" w:rsidR="00704B0E" w:rsidRDefault="00704B0E" w:rsidP="00656625">
      <w:pPr>
        <w:pStyle w:val="Paragraph"/>
      </w:pPr>
    </w:p>
    <w:p w14:paraId="585A119C" w14:textId="1262838A" w:rsidR="00704B0E" w:rsidRDefault="00704B0E" w:rsidP="00656625">
      <w:pPr>
        <w:pStyle w:val="Paragraph"/>
      </w:pPr>
    </w:p>
    <w:p w14:paraId="1C45420D" w14:textId="2803B6AE" w:rsidR="00704B0E" w:rsidRDefault="00704B0E" w:rsidP="001C2F70">
      <w:pPr>
        <w:pStyle w:val="Paragraph"/>
        <w:ind w:firstLine="0"/>
      </w:pPr>
    </w:p>
    <w:p w14:paraId="4A6B3371" w14:textId="712701EF" w:rsidR="00704B0E" w:rsidRPr="00704B0E" w:rsidRDefault="00704B0E" w:rsidP="00704B0E">
      <w:pPr>
        <w:pStyle w:val="Paragraph"/>
        <w:jc w:val="center"/>
        <w:rPr>
          <w:iCs/>
        </w:rPr>
      </w:pPr>
      <w:r w:rsidRPr="00545BF9">
        <w:rPr>
          <w:b/>
          <w:bCs/>
        </w:rPr>
        <w:lastRenderedPageBreak/>
        <w:t>TABLE</w:t>
      </w:r>
      <w:r w:rsidRPr="00963E65">
        <w:rPr>
          <w:b/>
          <w:bCs/>
          <w:lang w:val="id-ID"/>
        </w:rPr>
        <w:t xml:space="preserve"> </w:t>
      </w:r>
      <w:r w:rsidR="00AA27D0">
        <w:rPr>
          <w:b/>
          <w:bCs/>
        </w:rPr>
        <w:t>5</w:t>
      </w:r>
      <w:r w:rsidRPr="00963E65">
        <w:rPr>
          <w:b/>
          <w:bCs/>
          <w:lang w:val="id-ID"/>
        </w:rPr>
        <w:t>.</w:t>
      </w:r>
      <w:r w:rsidRPr="00963E65">
        <w:rPr>
          <w:lang w:val="id-ID"/>
        </w:rPr>
        <w:t xml:space="preserve"> </w:t>
      </w:r>
      <w:r w:rsidR="00197B7C">
        <w:rPr>
          <w:iCs/>
        </w:rPr>
        <w:t xml:space="preserve">Model Summaries of All Multilevel Models in This Study. Null Model, Model 1: Level-1 and Level-2 Predictors Fixed, Model 2 </w:t>
      </w:r>
      <w:r w:rsidR="00197B7C" w:rsidRPr="00197B7C">
        <w:rPr>
          <w:rFonts w:ascii="Calibri" w:hAnsi="Calibri" w:cs="Calibri"/>
          <w:iCs/>
        </w:rPr>
        <w:t>﻿</w:t>
      </w:r>
      <w:r w:rsidR="00197B7C" w:rsidRPr="00197B7C">
        <w:rPr>
          <w:iCs/>
        </w:rPr>
        <w:t xml:space="preserve">with </w:t>
      </w:r>
      <w:r w:rsidR="00197B7C">
        <w:rPr>
          <w:iCs/>
        </w:rPr>
        <w:t>F</w:t>
      </w:r>
      <w:r w:rsidR="00197B7C" w:rsidRPr="00197B7C">
        <w:rPr>
          <w:iCs/>
        </w:rPr>
        <w:t xml:space="preserve">ixed </w:t>
      </w:r>
      <w:r w:rsidR="00197B7C">
        <w:rPr>
          <w:iCs/>
        </w:rPr>
        <w:t>L</w:t>
      </w:r>
      <w:r w:rsidR="00197B7C" w:rsidRPr="00197B7C">
        <w:rPr>
          <w:iCs/>
        </w:rPr>
        <w:t xml:space="preserve">evel-1 and 2 </w:t>
      </w:r>
      <w:r w:rsidR="00197B7C">
        <w:rPr>
          <w:iCs/>
        </w:rPr>
        <w:t>P</w:t>
      </w:r>
      <w:r w:rsidR="00197B7C" w:rsidRPr="00197B7C">
        <w:rPr>
          <w:iCs/>
        </w:rPr>
        <w:t xml:space="preserve">redictors and </w:t>
      </w:r>
      <w:r w:rsidR="00197B7C">
        <w:rPr>
          <w:iCs/>
        </w:rPr>
        <w:t>R</w:t>
      </w:r>
      <w:r w:rsidR="00197B7C" w:rsidRPr="00197B7C">
        <w:rPr>
          <w:iCs/>
        </w:rPr>
        <w:t xml:space="preserve">andom </w:t>
      </w:r>
      <w:r w:rsidR="00197B7C">
        <w:rPr>
          <w:iCs/>
        </w:rPr>
        <w:t>L</w:t>
      </w:r>
      <w:r w:rsidR="00197B7C" w:rsidRPr="00197B7C">
        <w:rPr>
          <w:iCs/>
        </w:rPr>
        <w:t xml:space="preserve">evel-2 </w:t>
      </w:r>
      <w:r w:rsidR="00197B7C">
        <w:rPr>
          <w:iCs/>
        </w:rPr>
        <w:t>P</w:t>
      </w:r>
      <w:r w:rsidR="00197B7C" w:rsidRPr="00197B7C">
        <w:rPr>
          <w:iCs/>
        </w:rPr>
        <w:t>redictor</w:t>
      </w:r>
      <w:r w:rsidR="00197B7C">
        <w:rPr>
          <w:iCs/>
        </w:rPr>
        <w:t xml:space="preserve"> for the Aspect of Employ. </w:t>
      </w: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2410"/>
        <w:gridCol w:w="1918"/>
        <w:gridCol w:w="2335"/>
        <w:gridCol w:w="2472"/>
      </w:tblGrid>
      <w:tr w:rsidR="00AB086A" w:rsidRPr="00704B0E" w14:paraId="6B1392E6" w14:textId="77777777" w:rsidTr="00AB086A">
        <w:trPr>
          <w:trHeight w:val="58"/>
          <w:jc w:val="center"/>
        </w:trPr>
        <w:tc>
          <w:tcPr>
            <w:tcW w:w="2410" w:type="dxa"/>
            <w:tcBorders>
              <w:top w:val="single" w:sz="4" w:space="0" w:color="auto"/>
              <w:bottom w:val="single" w:sz="4" w:space="0" w:color="auto"/>
            </w:tcBorders>
            <w:shd w:val="clear" w:color="auto" w:fill="auto"/>
            <w:vAlign w:val="center"/>
          </w:tcPr>
          <w:p w14:paraId="0DA15823" w14:textId="77777777" w:rsidR="00704B0E" w:rsidRPr="00704B0E" w:rsidRDefault="00704B0E" w:rsidP="00704B0E">
            <w:pPr>
              <w:pStyle w:val="Paragraph"/>
              <w:ind w:firstLine="0"/>
              <w:rPr>
                <w:b/>
                <w:bCs/>
                <w:sz w:val="18"/>
                <w:szCs w:val="18"/>
              </w:rPr>
            </w:pPr>
            <w:r w:rsidRPr="00704B0E">
              <w:rPr>
                <w:b/>
                <w:bCs/>
                <w:sz w:val="18"/>
                <w:szCs w:val="18"/>
              </w:rPr>
              <w:t>Parameter</w:t>
            </w:r>
          </w:p>
        </w:tc>
        <w:tc>
          <w:tcPr>
            <w:tcW w:w="1918" w:type="dxa"/>
            <w:tcBorders>
              <w:top w:val="single" w:sz="4" w:space="0" w:color="auto"/>
              <w:bottom w:val="single" w:sz="4" w:space="0" w:color="auto"/>
            </w:tcBorders>
            <w:shd w:val="clear" w:color="auto" w:fill="auto"/>
            <w:vAlign w:val="center"/>
          </w:tcPr>
          <w:p w14:paraId="01BEE147" w14:textId="77777777" w:rsidR="00704B0E" w:rsidRPr="00704B0E" w:rsidRDefault="00704B0E" w:rsidP="00704B0E">
            <w:pPr>
              <w:pStyle w:val="Paragraph"/>
              <w:ind w:firstLine="25"/>
              <w:rPr>
                <w:b/>
                <w:bCs/>
                <w:sz w:val="18"/>
                <w:szCs w:val="18"/>
              </w:rPr>
            </w:pPr>
            <w:r w:rsidRPr="00704B0E">
              <w:rPr>
                <w:b/>
                <w:bCs/>
                <w:sz w:val="18"/>
                <w:szCs w:val="18"/>
              </w:rPr>
              <w:t>Null Model</w:t>
            </w:r>
          </w:p>
        </w:tc>
        <w:tc>
          <w:tcPr>
            <w:tcW w:w="2335" w:type="dxa"/>
            <w:tcBorders>
              <w:top w:val="single" w:sz="4" w:space="0" w:color="auto"/>
              <w:bottom w:val="single" w:sz="4" w:space="0" w:color="auto"/>
            </w:tcBorders>
            <w:shd w:val="clear" w:color="auto" w:fill="auto"/>
            <w:vAlign w:val="center"/>
          </w:tcPr>
          <w:p w14:paraId="12D51ADE" w14:textId="77777777" w:rsidR="00704B0E" w:rsidRPr="00704B0E" w:rsidRDefault="00704B0E" w:rsidP="00704B0E">
            <w:pPr>
              <w:pStyle w:val="Paragraph"/>
              <w:ind w:firstLine="25"/>
              <w:rPr>
                <w:b/>
                <w:bCs/>
                <w:sz w:val="18"/>
                <w:szCs w:val="18"/>
              </w:rPr>
            </w:pPr>
            <w:r w:rsidRPr="00704B0E">
              <w:rPr>
                <w:b/>
                <w:bCs/>
                <w:sz w:val="18"/>
                <w:szCs w:val="18"/>
              </w:rPr>
              <w:t xml:space="preserve">Model 1 </w:t>
            </w:r>
          </w:p>
          <w:p w14:paraId="1474615D" w14:textId="77777777" w:rsidR="00704B0E" w:rsidRPr="00704B0E" w:rsidRDefault="00704B0E" w:rsidP="00704B0E">
            <w:pPr>
              <w:pStyle w:val="Paragraph"/>
              <w:ind w:firstLine="25"/>
              <w:rPr>
                <w:b/>
                <w:bCs/>
                <w:sz w:val="18"/>
                <w:szCs w:val="18"/>
              </w:rPr>
            </w:pPr>
            <w:r w:rsidRPr="00704B0E">
              <w:rPr>
                <w:b/>
                <w:bCs/>
                <w:sz w:val="18"/>
                <w:szCs w:val="18"/>
              </w:rPr>
              <w:t>level-1 &amp; level-2: fixed</w:t>
            </w:r>
          </w:p>
        </w:tc>
        <w:tc>
          <w:tcPr>
            <w:tcW w:w="2472" w:type="dxa"/>
            <w:tcBorders>
              <w:top w:val="single" w:sz="4" w:space="0" w:color="auto"/>
              <w:bottom w:val="single" w:sz="4" w:space="0" w:color="auto"/>
            </w:tcBorders>
            <w:shd w:val="clear" w:color="auto" w:fill="auto"/>
            <w:vAlign w:val="center"/>
          </w:tcPr>
          <w:p w14:paraId="4FC7E56E" w14:textId="77777777" w:rsidR="00704B0E" w:rsidRPr="00704B0E" w:rsidRDefault="00704B0E" w:rsidP="00704B0E">
            <w:pPr>
              <w:pStyle w:val="Paragraph"/>
              <w:ind w:firstLine="25"/>
              <w:rPr>
                <w:b/>
                <w:bCs/>
                <w:sz w:val="18"/>
                <w:szCs w:val="18"/>
              </w:rPr>
            </w:pPr>
            <w:r w:rsidRPr="00704B0E">
              <w:rPr>
                <w:b/>
                <w:bCs/>
                <w:sz w:val="18"/>
                <w:szCs w:val="18"/>
              </w:rPr>
              <w:t>Model 2</w:t>
            </w:r>
          </w:p>
          <w:p w14:paraId="42B99317" w14:textId="23F7165D" w:rsidR="00704B0E" w:rsidRPr="00704B0E" w:rsidRDefault="00704B0E" w:rsidP="00704B0E">
            <w:pPr>
              <w:pStyle w:val="Paragraph"/>
              <w:ind w:firstLine="25"/>
              <w:rPr>
                <w:b/>
                <w:bCs/>
                <w:sz w:val="18"/>
                <w:szCs w:val="18"/>
              </w:rPr>
            </w:pPr>
            <w:r w:rsidRPr="00704B0E">
              <w:rPr>
                <w:b/>
                <w:bCs/>
                <w:sz w:val="18"/>
                <w:szCs w:val="18"/>
              </w:rPr>
              <w:t>Level-1 &amp; level-2:</w:t>
            </w:r>
            <w:r w:rsidR="008010AD">
              <w:rPr>
                <w:b/>
                <w:bCs/>
                <w:sz w:val="18"/>
                <w:szCs w:val="18"/>
              </w:rPr>
              <w:t xml:space="preserve"> fixed</w:t>
            </w:r>
          </w:p>
          <w:p w14:paraId="644CA2EF" w14:textId="77777777" w:rsidR="00704B0E" w:rsidRPr="00704B0E" w:rsidRDefault="00704B0E" w:rsidP="00704B0E">
            <w:pPr>
              <w:pStyle w:val="Paragraph"/>
              <w:ind w:firstLine="25"/>
              <w:rPr>
                <w:b/>
                <w:bCs/>
                <w:sz w:val="18"/>
                <w:szCs w:val="18"/>
              </w:rPr>
            </w:pPr>
            <w:r w:rsidRPr="00704B0E">
              <w:rPr>
                <w:b/>
                <w:bCs/>
                <w:sz w:val="18"/>
                <w:szCs w:val="18"/>
              </w:rPr>
              <w:t>Level -2 random</w:t>
            </w:r>
          </w:p>
        </w:tc>
      </w:tr>
      <w:tr w:rsidR="00AB086A" w:rsidRPr="00704B0E" w14:paraId="6552066D" w14:textId="77777777" w:rsidTr="00AB086A">
        <w:trPr>
          <w:trHeight w:val="68"/>
          <w:jc w:val="center"/>
        </w:trPr>
        <w:tc>
          <w:tcPr>
            <w:tcW w:w="2410" w:type="dxa"/>
            <w:tcBorders>
              <w:top w:val="single" w:sz="4" w:space="0" w:color="auto"/>
            </w:tcBorders>
          </w:tcPr>
          <w:p w14:paraId="68F766DB" w14:textId="77777777" w:rsidR="00704B0E" w:rsidRPr="00704B0E" w:rsidRDefault="00704B0E" w:rsidP="00704B0E">
            <w:pPr>
              <w:pStyle w:val="Paragraph"/>
              <w:ind w:firstLine="0"/>
              <w:rPr>
                <w:i/>
                <w:iCs/>
              </w:rPr>
            </w:pPr>
            <w:r w:rsidRPr="00704B0E">
              <w:rPr>
                <w:i/>
                <w:iCs/>
              </w:rPr>
              <w:t xml:space="preserve">Fixed effects </w:t>
            </w:r>
          </w:p>
        </w:tc>
        <w:tc>
          <w:tcPr>
            <w:tcW w:w="1918" w:type="dxa"/>
            <w:tcBorders>
              <w:top w:val="single" w:sz="4" w:space="0" w:color="auto"/>
            </w:tcBorders>
          </w:tcPr>
          <w:p w14:paraId="7631CF93" w14:textId="77777777" w:rsidR="00704B0E" w:rsidRPr="00704B0E" w:rsidRDefault="00704B0E" w:rsidP="00704B0E">
            <w:pPr>
              <w:pStyle w:val="Paragraph"/>
              <w:ind w:firstLine="25"/>
            </w:pPr>
          </w:p>
        </w:tc>
        <w:tc>
          <w:tcPr>
            <w:tcW w:w="2335" w:type="dxa"/>
            <w:tcBorders>
              <w:top w:val="single" w:sz="4" w:space="0" w:color="auto"/>
            </w:tcBorders>
          </w:tcPr>
          <w:p w14:paraId="6FF52972" w14:textId="77777777" w:rsidR="00704B0E" w:rsidRPr="00704B0E" w:rsidRDefault="00704B0E" w:rsidP="00704B0E">
            <w:pPr>
              <w:pStyle w:val="Paragraph"/>
              <w:ind w:firstLine="25"/>
            </w:pPr>
          </w:p>
        </w:tc>
        <w:tc>
          <w:tcPr>
            <w:tcW w:w="2472" w:type="dxa"/>
            <w:tcBorders>
              <w:top w:val="single" w:sz="4" w:space="0" w:color="auto"/>
            </w:tcBorders>
          </w:tcPr>
          <w:p w14:paraId="2B43DBBF" w14:textId="77777777" w:rsidR="00704B0E" w:rsidRPr="00704B0E" w:rsidRDefault="00704B0E" w:rsidP="00704B0E">
            <w:pPr>
              <w:pStyle w:val="Paragraph"/>
              <w:ind w:firstLine="25"/>
            </w:pPr>
          </w:p>
        </w:tc>
      </w:tr>
      <w:tr w:rsidR="00704B0E" w:rsidRPr="00704B0E" w14:paraId="702DE4F1" w14:textId="77777777" w:rsidTr="00AB086A">
        <w:trPr>
          <w:trHeight w:val="68"/>
          <w:jc w:val="center"/>
        </w:trPr>
        <w:tc>
          <w:tcPr>
            <w:tcW w:w="2410" w:type="dxa"/>
          </w:tcPr>
          <w:p w14:paraId="16CD6DD9" w14:textId="18F5D773" w:rsidR="00704B0E" w:rsidRPr="00704B0E" w:rsidRDefault="00704B0E" w:rsidP="00704B0E">
            <w:pPr>
              <w:pStyle w:val="Paragraph"/>
              <w:ind w:firstLine="0"/>
              <w:rPr>
                <w:i/>
                <w:iCs/>
              </w:rPr>
            </w:pPr>
            <w:r w:rsidRPr="00704B0E">
              <w:rPr>
                <w:i/>
                <w:iCs/>
              </w:rPr>
              <w:t xml:space="preserve">Intercept </w:t>
            </w:r>
            <m:oMath>
              <m:d>
                <m:dPr>
                  <m:ctrlPr>
                    <w:rPr>
                      <w:rFonts w:ascii="Cambria Math" w:hAnsi="Cambria Math"/>
                      <w:i/>
                      <w:iCs/>
                    </w:rPr>
                  </m:ctrlPr>
                </m:dPr>
                <m:e>
                  <m:sSub>
                    <m:sSubPr>
                      <m:ctrlPr>
                        <w:rPr>
                          <w:rFonts w:ascii="Cambria Math" w:hAnsi="Cambria Math"/>
                          <w:i/>
                          <w:iCs/>
                        </w:rPr>
                      </m:ctrlPr>
                    </m:sSubPr>
                    <m:e>
                      <m:r>
                        <w:rPr>
                          <w:rFonts w:ascii="Cambria Math" w:hAnsi="Cambria Math"/>
                        </w:rPr>
                        <m:t>γ</m:t>
                      </m:r>
                    </m:e>
                    <m:sub>
                      <m:r>
                        <w:rPr>
                          <w:rFonts w:ascii="Cambria Math" w:hAnsi="Cambria Math"/>
                        </w:rPr>
                        <m:t>00</m:t>
                      </m:r>
                    </m:sub>
                  </m:sSub>
                </m:e>
              </m:d>
            </m:oMath>
          </w:p>
        </w:tc>
        <w:tc>
          <w:tcPr>
            <w:tcW w:w="1918" w:type="dxa"/>
          </w:tcPr>
          <w:p w14:paraId="61FBE709" w14:textId="77777777" w:rsidR="00704B0E" w:rsidRPr="00704B0E" w:rsidRDefault="00704B0E" w:rsidP="00704B0E">
            <w:pPr>
              <w:pStyle w:val="Paragraph"/>
              <w:ind w:firstLine="25"/>
            </w:pPr>
            <w:r w:rsidRPr="00704B0E">
              <w:t xml:space="preserve">369.11 (3.55) </w:t>
            </w:r>
          </w:p>
        </w:tc>
        <w:tc>
          <w:tcPr>
            <w:tcW w:w="2335" w:type="dxa"/>
          </w:tcPr>
          <w:p w14:paraId="17DB2FDF" w14:textId="77777777" w:rsidR="00704B0E" w:rsidRPr="00704B0E" w:rsidRDefault="00704B0E" w:rsidP="00704B0E">
            <w:pPr>
              <w:pStyle w:val="Paragraph"/>
              <w:ind w:firstLine="25"/>
            </w:pPr>
            <w:r w:rsidRPr="00704B0E">
              <w:t>325.85 (8.24) ***</w:t>
            </w:r>
          </w:p>
        </w:tc>
        <w:tc>
          <w:tcPr>
            <w:tcW w:w="2472" w:type="dxa"/>
          </w:tcPr>
          <w:p w14:paraId="4EC82B31" w14:textId="77777777" w:rsidR="00704B0E" w:rsidRPr="00704B0E" w:rsidRDefault="00704B0E" w:rsidP="00704B0E">
            <w:pPr>
              <w:pStyle w:val="Paragraph"/>
              <w:ind w:firstLine="25"/>
            </w:pPr>
            <w:proofErr w:type="gramStart"/>
            <w:r w:rsidRPr="00704B0E">
              <w:t>325.89  (</w:t>
            </w:r>
            <w:proofErr w:type="gramEnd"/>
            <w:r w:rsidRPr="00704B0E">
              <w:t>8.42)***</w:t>
            </w:r>
          </w:p>
        </w:tc>
      </w:tr>
      <w:tr w:rsidR="00704B0E" w:rsidRPr="00704B0E" w14:paraId="7803B0C1" w14:textId="77777777" w:rsidTr="00AB086A">
        <w:trPr>
          <w:trHeight w:val="68"/>
          <w:jc w:val="center"/>
        </w:trPr>
        <w:tc>
          <w:tcPr>
            <w:tcW w:w="2410" w:type="dxa"/>
          </w:tcPr>
          <w:p w14:paraId="2BB4F234" w14:textId="4A4E8D08" w:rsidR="00704B0E" w:rsidRPr="00704B0E" w:rsidRDefault="00704B0E" w:rsidP="00704B0E">
            <w:pPr>
              <w:pStyle w:val="Paragraph"/>
              <w:ind w:firstLine="0"/>
            </w:pPr>
            <w:r w:rsidRPr="00704B0E">
              <w:t>Teacher support</w:t>
            </w:r>
            <w:r w:rsidR="00AB086A">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10</m:t>
                      </m:r>
                    </m:sub>
                  </m:sSub>
                </m:e>
              </m:d>
            </m:oMath>
          </w:p>
        </w:tc>
        <w:tc>
          <w:tcPr>
            <w:tcW w:w="1918" w:type="dxa"/>
          </w:tcPr>
          <w:p w14:paraId="57BC8A15" w14:textId="77777777" w:rsidR="00704B0E" w:rsidRPr="00704B0E" w:rsidRDefault="00704B0E" w:rsidP="00704B0E">
            <w:pPr>
              <w:pStyle w:val="Paragraph"/>
              <w:ind w:firstLine="25"/>
            </w:pPr>
            <w:r w:rsidRPr="00704B0E">
              <w:t>-</w:t>
            </w:r>
          </w:p>
        </w:tc>
        <w:tc>
          <w:tcPr>
            <w:tcW w:w="2335" w:type="dxa"/>
          </w:tcPr>
          <w:p w14:paraId="770A359F" w14:textId="77777777" w:rsidR="00704B0E" w:rsidRPr="00704B0E" w:rsidRDefault="00704B0E" w:rsidP="00704B0E">
            <w:pPr>
              <w:pStyle w:val="Paragraph"/>
              <w:ind w:firstLine="25"/>
            </w:pPr>
            <w:r w:rsidRPr="00704B0E">
              <w:t>2.81 (</w:t>
            </w:r>
            <w:proofErr w:type="gramStart"/>
            <w:r w:rsidRPr="00704B0E">
              <w:t>0.48)*</w:t>
            </w:r>
            <w:proofErr w:type="gramEnd"/>
            <w:r w:rsidRPr="00704B0E">
              <w:t>**</w:t>
            </w:r>
          </w:p>
        </w:tc>
        <w:tc>
          <w:tcPr>
            <w:tcW w:w="2472" w:type="dxa"/>
          </w:tcPr>
          <w:p w14:paraId="5DB8077A" w14:textId="77777777" w:rsidR="00704B0E" w:rsidRPr="00704B0E" w:rsidRDefault="00704B0E" w:rsidP="00704B0E">
            <w:pPr>
              <w:pStyle w:val="Paragraph"/>
              <w:ind w:firstLine="25"/>
            </w:pPr>
            <w:proofErr w:type="gramStart"/>
            <w:r w:rsidRPr="00704B0E">
              <w:t>2.81  (</w:t>
            </w:r>
            <w:proofErr w:type="gramEnd"/>
            <w:r w:rsidRPr="00704B0E">
              <w:t>0.48)***</w:t>
            </w:r>
          </w:p>
        </w:tc>
      </w:tr>
      <w:tr w:rsidR="00704B0E" w:rsidRPr="00704B0E" w14:paraId="60964B9E" w14:textId="77777777" w:rsidTr="00AB086A">
        <w:trPr>
          <w:trHeight w:val="68"/>
          <w:jc w:val="center"/>
        </w:trPr>
        <w:tc>
          <w:tcPr>
            <w:tcW w:w="2410" w:type="dxa"/>
          </w:tcPr>
          <w:p w14:paraId="40A0C95C" w14:textId="259B3F52" w:rsidR="00704B0E" w:rsidRPr="00704B0E" w:rsidRDefault="00704B0E" w:rsidP="00704B0E">
            <w:pPr>
              <w:pStyle w:val="Paragraph"/>
              <w:ind w:firstLine="0"/>
            </w:pPr>
            <w:r w:rsidRPr="00704B0E">
              <w:t>Cognitive activation</w:t>
            </w:r>
            <w:r w:rsidR="00AB086A">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20</m:t>
                      </m:r>
                    </m:sub>
                  </m:sSub>
                </m:e>
              </m:d>
            </m:oMath>
          </w:p>
        </w:tc>
        <w:tc>
          <w:tcPr>
            <w:tcW w:w="1918" w:type="dxa"/>
          </w:tcPr>
          <w:p w14:paraId="7359A1F7" w14:textId="77777777" w:rsidR="00704B0E" w:rsidRPr="00704B0E" w:rsidRDefault="00704B0E" w:rsidP="00704B0E">
            <w:pPr>
              <w:pStyle w:val="Paragraph"/>
              <w:ind w:firstLine="25"/>
            </w:pPr>
            <w:r w:rsidRPr="00704B0E">
              <w:t>-</w:t>
            </w:r>
          </w:p>
        </w:tc>
        <w:tc>
          <w:tcPr>
            <w:tcW w:w="2335" w:type="dxa"/>
          </w:tcPr>
          <w:p w14:paraId="50A76EE0" w14:textId="77777777" w:rsidR="00704B0E" w:rsidRPr="00704B0E" w:rsidRDefault="00704B0E" w:rsidP="00704B0E">
            <w:pPr>
              <w:pStyle w:val="Paragraph"/>
              <w:ind w:firstLine="25"/>
            </w:pPr>
            <w:r w:rsidRPr="00704B0E">
              <w:t>0.29 (0.18)</w:t>
            </w:r>
          </w:p>
        </w:tc>
        <w:tc>
          <w:tcPr>
            <w:tcW w:w="2472" w:type="dxa"/>
          </w:tcPr>
          <w:p w14:paraId="425561D0" w14:textId="77777777" w:rsidR="00704B0E" w:rsidRPr="00704B0E" w:rsidRDefault="00704B0E" w:rsidP="00704B0E">
            <w:pPr>
              <w:pStyle w:val="Paragraph"/>
              <w:ind w:firstLine="25"/>
            </w:pPr>
            <w:proofErr w:type="gramStart"/>
            <w:r w:rsidRPr="00704B0E">
              <w:t>0.29  (</w:t>
            </w:r>
            <w:proofErr w:type="gramEnd"/>
            <w:r w:rsidRPr="00704B0E">
              <w:t>0.18)</w:t>
            </w:r>
          </w:p>
        </w:tc>
      </w:tr>
      <w:tr w:rsidR="00704B0E" w:rsidRPr="00704B0E" w14:paraId="351873F7" w14:textId="77777777" w:rsidTr="00AB086A">
        <w:trPr>
          <w:trHeight w:val="68"/>
          <w:jc w:val="center"/>
        </w:trPr>
        <w:tc>
          <w:tcPr>
            <w:tcW w:w="2410" w:type="dxa"/>
          </w:tcPr>
          <w:p w14:paraId="00DFCB30" w14:textId="5BD1E5BA" w:rsidR="00704B0E" w:rsidRPr="00704B0E" w:rsidRDefault="00704B0E" w:rsidP="00704B0E">
            <w:pPr>
              <w:pStyle w:val="Paragraph"/>
              <w:ind w:firstLine="0"/>
            </w:pPr>
            <w:r w:rsidRPr="00704B0E">
              <w:t>School type</w:t>
            </w:r>
            <w:r w:rsidR="00AB086A">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01</m:t>
                      </m:r>
                    </m:sub>
                  </m:sSub>
                </m:e>
              </m:d>
            </m:oMath>
          </w:p>
        </w:tc>
        <w:tc>
          <w:tcPr>
            <w:tcW w:w="1918" w:type="dxa"/>
          </w:tcPr>
          <w:p w14:paraId="24829B4C" w14:textId="77777777" w:rsidR="00704B0E" w:rsidRPr="00704B0E" w:rsidRDefault="00704B0E" w:rsidP="00704B0E">
            <w:pPr>
              <w:pStyle w:val="Paragraph"/>
              <w:ind w:firstLine="25"/>
            </w:pPr>
            <w:r w:rsidRPr="00704B0E">
              <w:t>-</w:t>
            </w:r>
          </w:p>
        </w:tc>
        <w:tc>
          <w:tcPr>
            <w:tcW w:w="2335" w:type="dxa"/>
          </w:tcPr>
          <w:p w14:paraId="418C888E" w14:textId="77777777" w:rsidR="00704B0E" w:rsidRPr="00704B0E" w:rsidRDefault="00704B0E" w:rsidP="00704B0E">
            <w:pPr>
              <w:pStyle w:val="Paragraph"/>
              <w:ind w:firstLine="25"/>
            </w:pPr>
            <w:r w:rsidRPr="00704B0E">
              <w:t>-3.82 (7.04)</w:t>
            </w:r>
          </w:p>
        </w:tc>
        <w:tc>
          <w:tcPr>
            <w:tcW w:w="2472" w:type="dxa"/>
          </w:tcPr>
          <w:p w14:paraId="475F7BAD" w14:textId="77777777" w:rsidR="00704B0E" w:rsidRPr="00704B0E" w:rsidRDefault="00704B0E" w:rsidP="00704B0E">
            <w:pPr>
              <w:pStyle w:val="Paragraph"/>
              <w:ind w:firstLine="25"/>
            </w:pPr>
            <w:r w:rsidRPr="00704B0E">
              <w:t>-3.78 (6.95)</w:t>
            </w:r>
          </w:p>
        </w:tc>
      </w:tr>
      <w:tr w:rsidR="00704B0E" w:rsidRPr="00704B0E" w14:paraId="27E1060B" w14:textId="77777777" w:rsidTr="00AB086A">
        <w:trPr>
          <w:trHeight w:val="68"/>
          <w:jc w:val="center"/>
        </w:trPr>
        <w:tc>
          <w:tcPr>
            <w:tcW w:w="2410" w:type="dxa"/>
          </w:tcPr>
          <w:p w14:paraId="06259596" w14:textId="77777777" w:rsidR="00704B0E" w:rsidRPr="00704B0E" w:rsidRDefault="00704B0E" w:rsidP="00704B0E">
            <w:pPr>
              <w:pStyle w:val="Paragraph"/>
              <w:ind w:firstLine="0"/>
            </w:pPr>
            <w:r w:rsidRPr="00704B0E">
              <w:t xml:space="preserve">Random effects </w:t>
            </w:r>
          </w:p>
        </w:tc>
        <w:tc>
          <w:tcPr>
            <w:tcW w:w="1918" w:type="dxa"/>
          </w:tcPr>
          <w:p w14:paraId="6AE86093" w14:textId="77777777" w:rsidR="00704B0E" w:rsidRPr="00704B0E" w:rsidRDefault="00704B0E" w:rsidP="00704B0E">
            <w:pPr>
              <w:pStyle w:val="Paragraph"/>
              <w:ind w:firstLine="25"/>
            </w:pPr>
          </w:p>
        </w:tc>
        <w:tc>
          <w:tcPr>
            <w:tcW w:w="2335" w:type="dxa"/>
          </w:tcPr>
          <w:p w14:paraId="6FCDD35F" w14:textId="77777777" w:rsidR="00704B0E" w:rsidRPr="00704B0E" w:rsidRDefault="00704B0E" w:rsidP="00704B0E">
            <w:pPr>
              <w:pStyle w:val="Paragraph"/>
              <w:ind w:firstLine="25"/>
            </w:pPr>
          </w:p>
        </w:tc>
        <w:tc>
          <w:tcPr>
            <w:tcW w:w="2472" w:type="dxa"/>
            <w:vAlign w:val="bottom"/>
          </w:tcPr>
          <w:p w14:paraId="4632D9F9" w14:textId="77777777" w:rsidR="00704B0E" w:rsidRPr="00704B0E" w:rsidRDefault="00704B0E" w:rsidP="00704B0E">
            <w:pPr>
              <w:pStyle w:val="Paragraph"/>
              <w:ind w:firstLine="25"/>
            </w:pPr>
            <w:r w:rsidRPr="00704B0E">
              <w:rPr>
                <w:lang w:val="id-ID"/>
              </w:rPr>
              <w:t>1554.40</w:t>
            </w:r>
          </w:p>
        </w:tc>
      </w:tr>
      <w:tr w:rsidR="00704B0E" w:rsidRPr="00704B0E" w14:paraId="3808EDB5" w14:textId="77777777" w:rsidTr="00AB086A">
        <w:trPr>
          <w:trHeight w:val="68"/>
          <w:jc w:val="center"/>
        </w:trPr>
        <w:tc>
          <w:tcPr>
            <w:tcW w:w="2410" w:type="dxa"/>
          </w:tcPr>
          <w:p w14:paraId="7EB18CA3" w14:textId="21F14189" w:rsidR="00704B0E" w:rsidRPr="00704B0E" w:rsidRDefault="00704B0E" w:rsidP="00704B0E">
            <w:pPr>
              <w:pStyle w:val="Paragraph"/>
              <w:ind w:firstLine="0"/>
            </w:pPr>
            <w:r w:rsidRPr="00704B0E">
              <w:t xml:space="preserve">Residual </w:t>
            </w:r>
            <w:r w:rsidRPr="00704B0E">
              <w:rPr>
                <w:i/>
              </w:rPr>
              <w:t>(</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w:r w:rsidRPr="00704B0E">
              <w:t xml:space="preserve"> </w:t>
            </w:r>
          </w:p>
        </w:tc>
        <w:tc>
          <w:tcPr>
            <w:tcW w:w="1918" w:type="dxa"/>
            <w:vAlign w:val="bottom"/>
          </w:tcPr>
          <w:p w14:paraId="7C6D55B4" w14:textId="77777777" w:rsidR="00704B0E" w:rsidRPr="00704B0E" w:rsidRDefault="00704B0E" w:rsidP="00704B0E">
            <w:pPr>
              <w:pStyle w:val="Paragraph"/>
              <w:ind w:firstLine="25"/>
            </w:pPr>
            <w:r w:rsidRPr="00704B0E">
              <w:rPr>
                <w:lang w:val="id-ID"/>
              </w:rPr>
              <w:t>2,066.60</w:t>
            </w:r>
            <w:r w:rsidRPr="00704B0E">
              <w:t xml:space="preserve"> (50.172)</w:t>
            </w:r>
          </w:p>
        </w:tc>
        <w:tc>
          <w:tcPr>
            <w:tcW w:w="2335" w:type="dxa"/>
            <w:vAlign w:val="bottom"/>
          </w:tcPr>
          <w:p w14:paraId="097DCA69" w14:textId="77777777" w:rsidR="00704B0E" w:rsidRPr="00704B0E" w:rsidRDefault="00704B0E" w:rsidP="00704B0E">
            <w:pPr>
              <w:pStyle w:val="Paragraph"/>
              <w:ind w:firstLine="25"/>
            </w:pPr>
            <w:r w:rsidRPr="00704B0E">
              <w:rPr>
                <w:lang w:val="id-ID"/>
              </w:rPr>
              <w:t>2,043.35</w:t>
            </w:r>
            <w:r w:rsidRPr="00704B0E">
              <w:t xml:space="preserve"> (49.622)</w:t>
            </w:r>
          </w:p>
        </w:tc>
        <w:tc>
          <w:tcPr>
            <w:tcW w:w="2472" w:type="dxa"/>
            <w:vAlign w:val="bottom"/>
          </w:tcPr>
          <w:p w14:paraId="39CAE6E7" w14:textId="77777777" w:rsidR="00704B0E" w:rsidRPr="00704B0E" w:rsidRDefault="00704B0E" w:rsidP="00704B0E">
            <w:pPr>
              <w:pStyle w:val="Paragraph"/>
              <w:ind w:firstLine="25"/>
            </w:pPr>
            <w:r w:rsidRPr="00704B0E">
              <w:rPr>
                <w:lang w:val="id-ID"/>
              </w:rPr>
              <w:t>2,043.34</w:t>
            </w:r>
          </w:p>
        </w:tc>
      </w:tr>
      <w:tr w:rsidR="00704B0E" w:rsidRPr="00704B0E" w14:paraId="4192DCA4" w14:textId="77777777" w:rsidTr="00AB086A">
        <w:trPr>
          <w:trHeight w:val="68"/>
          <w:jc w:val="center"/>
        </w:trPr>
        <w:tc>
          <w:tcPr>
            <w:tcW w:w="2410" w:type="dxa"/>
          </w:tcPr>
          <w:p w14:paraId="4993FEA9" w14:textId="1E199ECF" w:rsidR="00704B0E" w:rsidRPr="00704B0E" w:rsidRDefault="00704B0E" w:rsidP="00704B0E">
            <w:pPr>
              <w:pStyle w:val="Paragraph"/>
              <w:ind w:firstLine="0"/>
            </w:pPr>
            <w:r w:rsidRPr="00704B0E">
              <w:t xml:space="preserve">Intercept </w:t>
            </w:r>
            <m:oMath>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00</m:t>
                  </m:r>
                </m:sub>
              </m:sSub>
              <m:r>
                <w:rPr>
                  <w:rFonts w:ascii="Cambria Math" w:hAnsi="Cambria Math"/>
                </w:rPr>
                <m:t>)</m:t>
              </m:r>
            </m:oMath>
          </w:p>
        </w:tc>
        <w:tc>
          <w:tcPr>
            <w:tcW w:w="1918" w:type="dxa"/>
            <w:vAlign w:val="bottom"/>
          </w:tcPr>
          <w:p w14:paraId="4D9D854A" w14:textId="77777777" w:rsidR="00704B0E" w:rsidRPr="00704B0E" w:rsidRDefault="00704B0E" w:rsidP="00704B0E">
            <w:pPr>
              <w:pStyle w:val="Paragraph"/>
              <w:ind w:firstLine="25"/>
            </w:pPr>
            <w:r w:rsidRPr="00704B0E">
              <w:rPr>
                <w:lang w:val="id-ID"/>
              </w:rPr>
              <w:t>2,467.32</w:t>
            </w:r>
            <w:r w:rsidRPr="00704B0E">
              <w:t xml:space="preserve"> (257.096)</w:t>
            </w:r>
          </w:p>
        </w:tc>
        <w:tc>
          <w:tcPr>
            <w:tcW w:w="2335" w:type="dxa"/>
            <w:vAlign w:val="bottom"/>
          </w:tcPr>
          <w:p w14:paraId="2F0F574D" w14:textId="77777777" w:rsidR="00704B0E" w:rsidRPr="00704B0E" w:rsidRDefault="00704B0E" w:rsidP="00704B0E">
            <w:pPr>
              <w:pStyle w:val="Paragraph"/>
              <w:ind w:firstLine="25"/>
            </w:pPr>
            <w:r w:rsidRPr="00704B0E">
              <w:rPr>
                <w:lang w:val="id-ID"/>
              </w:rPr>
              <w:t>2,407.55</w:t>
            </w:r>
            <w:r w:rsidRPr="00704B0E">
              <w:t xml:space="preserve"> (251.672)</w:t>
            </w:r>
          </w:p>
        </w:tc>
        <w:tc>
          <w:tcPr>
            <w:tcW w:w="2472" w:type="dxa"/>
            <w:vAlign w:val="bottom"/>
          </w:tcPr>
          <w:p w14:paraId="7A9502A1" w14:textId="77777777" w:rsidR="00704B0E" w:rsidRPr="00704B0E" w:rsidRDefault="00704B0E" w:rsidP="00704B0E">
            <w:pPr>
              <w:pStyle w:val="Paragraph"/>
              <w:ind w:firstLine="25"/>
            </w:pPr>
            <w:r w:rsidRPr="00704B0E">
              <w:rPr>
                <w:lang w:val="id-ID"/>
              </w:rPr>
              <w:t>2,752.11</w:t>
            </w:r>
          </w:p>
        </w:tc>
      </w:tr>
      <w:tr w:rsidR="00AB086A" w:rsidRPr="00704B0E" w14:paraId="613C09CD" w14:textId="77777777" w:rsidTr="00AB086A">
        <w:trPr>
          <w:trHeight w:val="68"/>
          <w:jc w:val="center"/>
        </w:trPr>
        <w:tc>
          <w:tcPr>
            <w:tcW w:w="2410" w:type="dxa"/>
          </w:tcPr>
          <w:p w14:paraId="3A2746B0" w14:textId="77777777" w:rsidR="00704B0E" w:rsidRPr="00704B0E" w:rsidRDefault="00704B0E" w:rsidP="00704B0E">
            <w:pPr>
              <w:pStyle w:val="Paragraph"/>
              <w:ind w:firstLine="0"/>
            </w:pPr>
            <w:r w:rsidRPr="00704B0E">
              <w:rPr>
                <w:rFonts w:ascii="Calibri" w:hAnsi="Calibri" w:cs="Calibri"/>
                <w:lang w:val="id-ID"/>
              </w:rPr>
              <w:t>﻿</w:t>
            </w:r>
            <w:proofErr w:type="spellStart"/>
            <w:r w:rsidRPr="00704B0E">
              <w:rPr>
                <w:i/>
                <w:iCs/>
                <w:lang w:val="id-ID"/>
              </w:rPr>
              <w:t>Information</w:t>
            </w:r>
            <w:proofErr w:type="spellEnd"/>
            <w:r w:rsidRPr="00704B0E">
              <w:rPr>
                <w:i/>
                <w:iCs/>
                <w:lang w:val="id-ID"/>
              </w:rPr>
              <w:t xml:space="preserve"> </w:t>
            </w:r>
            <w:proofErr w:type="spellStart"/>
            <w:r w:rsidRPr="00704B0E">
              <w:rPr>
                <w:i/>
                <w:iCs/>
                <w:lang w:val="id-ID"/>
              </w:rPr>
              <w:t>criteria</w:t>
            </w:r>
            <w:proofErr w:type="spellEnd"/>
            <w:r w:rsidRPr="00704B0E">
              <w:rPr>
                <w:lang w:val="id-ID"/>
              </w:rPr>
              <w:t xml:space="preserve"> </w:t>
            </w:r>
          </w:p>
        </w:tc>
        <w:tc>
          <w:tcPr>
            <w:tcW w:w="1918" w:type="dxa"/>
            <w:vAlign w:val="bottom"/>
          </w:tcPr>
          <w:p w14:paraId="0FCF8FE1" w14:textId="77777777" w:rsidR="00704B0E" w:rsidRPr="00704B0E" w:rsidRDefault="00704B0E" w:rsidP="00704B0E">
            <w:pPr>
              <w:pStyle w:val="Paragraph"/>
              <w:ind w:firstLine="25"/>
              <w:rPr>
                <w:lang w:val="id-ID"/>
              </w:rPr>
            </w:pPr>
          </w:p>
        </w:tc>
        <w:tc>
          <w:tcPr>
            <w:tcW w:w="2335" w:type="dxa"/>
            <w:vAlign w:val="bottom"/>
          </w:tcPr>
          <w:p w14:paraId="28CF5839" w14:textId="77777777" w:rsidR="00704B0E" w:rsidRPr="00704B0E" w:rsidRDefault="00704B0E" w:rsidP="00704B0E">
            <w:pPr>
              <w:pStyle w:val="Paragraph"/>
              <w:ind w:firstLine="25"/>
              <w:rPr>
                <w:lang w:val="id-ID"/>
              </w:rPr>
            </w:pPr>
          </w:p>
        </w:tc>
        <w:tc>
          <w:tcPr>
            <w:tcW w:w="2472" w:type="dxa"/>
            <w:vAlign w:val="bottom"/>
          </w:tcPr>
          <w:p w14:paraId="35784000" w14:textId="77777777" w:rsidR="00704B0E" w:rsidRPr="00704B0E" w:rsidRDefault="00704B0E" w:rsidP="00704B0E">
            <w:pPr>
              <w:pStyle w:val="Paragraph"/>
              <w:ind w:firstLine="25"/>
              <w:rPr>
                <w:lang w:val="id-ID"/>
              </w:rPr>
            </w:pPr>
          </w:p>
        </w:tc>
      </w:tr>
      <w:tr w:rsidR="00AB086A" w:rsidRPr="00704B0E" w14:paraId="269FD712" w14:textId="77777777" w:rsidTr="00AB086A">
        <w:trPr>
          <w:trHeight w:val="68"/>
          <w:jc w:val="center"/>
        </w:trPr>
        <w:tc>
          <w:tcPr>
            <w:tcW w:w="2410" w:type="dxa"/>
          </w:tcPr>
          <w:p w14:paraId="5750FA74" w14:textId="77777777" w:rsidR="00704B0E" w:rsidRPr="00704B0E" w:rsidRDefault="00704B0E" w:rsidP="00704B0E">
            <w:pPr>
              <w:pStyle w:val="Paragraph"/>
              <w:ind w:firstLine="0"/>
            </w:pPr>
            <w:r w:rsidRPr="00704B0E">
              <w:t>AIC</w:t>
            </w:r>
          </w:p>
        </w:tc>
        <w:tc>
          <w:tcPr>
            <w:tcW w:w="1918" w:type="dxa"/>
            <w:vAlign w:val="center"/>
          </w:tcPr>
          <w:p w14:paraId="58A50D14" w14:textId="77777777" w:rsidR="00704B0E" w:rsidRPr="00704B0E" w:rsidRDefault="00704B0E" w:rsidP="00704B0E">
            <w:pPr>
              <w:pStyle w:val="Paragraph"/>
              <w:ind w:firstLine="25"/>
            </w:pPr>
            <w:r w:rsidRPr="00704B0E">
              <w:rPr>
                <w:lang w:val="id-ID"/>
              </w:rPr>
              <w:t>38,</w:t>
            </w:r>
            <w:r w:rsidRPr="00704B0E">
              <w:t>330.80</w:t>
            </w:r>
          </w:p>
        </w:tc>
        <w:tc>
          <w:tcPr>
            <w:tcW w:w="2335" w:type="dxa"/>
            <w:vAlign w:val="center"/>
          </w:tcPr>
          <w:p w14:paraId="4EF3A968" w14:textId="77777777" w:rsidR="00704B0E" w:rsidRPr="00704B0E" w:rsidRDefault="00704B0E" w:rsidP="00704B0E">
            <w:pPr>
              <w:pStyle w:val="Paragraph"/>
              <w:ind w:firstLine="25"/>
            </w:pPr>
            <w:r w:rsidRPr="00704B0E">
              <w:rPr>
                <w:lang w:val="id-ID"/>
              </w:rPr>
              <w:t>38,2</w:t>
            </w:r>
            <w:r w:rsidRPr="00704B0E">
              <w:t>8</w:t>
            </w:r>
            <w:r w:rsidRPr="00704B0E">
              <w:rPr>
                <w:lang w:val="id-ID"/>
              </w:rPr>
              <w:t>6.</w:t>
            </w:r>
            <w:r w:rsidRPr="00704B0E">
              <w:t>00</w:t>
            </w:r>
          </w:p>
        </w:tc>
        <w:tc>
          <w:tcPr>
            <w:tcW w:w="2472" w:type="dxa"/>
            <w:vAlign w:val="center"/>
          </w:tcPr>
          <w:p w14:paraId="74B6DF42" w14:textId="77777777" w:rsidR="00704B0E" w:rsidRPr="00704B0E" w:rsidRDefault="00704B0E" w:rsidP="00704B0E">
            <w:pPr>
              <w:pStyle w:val="Paragraph"/>
              <w:ind w:firstLine="25"/>
            </w:pPr>
            <w:r w:rsidRPr="00704B0E">
              <w:rPr>
                <w:lang w:val="id-ID"/>
              </w:rPr>
              <w:t>38,2</w:t>
            </w:r>
            <w:r w:rsidRPr="00704B0E">
              <w:t>87</w:t>
            </w:r>
            <w:r w:rsidRPr="00704B0E">
              <w:rPr>
                <w:lang w:val="id-ID"/>
              </w:rPr>
              <w:t>.</w:t>
            </w:r>
            <w:r w:rsidRPr="00704B0E">
              <w:t>68</w:t>
            </w:r>
          </w:p>
        </w:tc>
      </w:tr>
      <w:tr w:rsidR="00AB086A" w:rsidRPr="00704B0E" w14:paraId="0E8F71A8" w14:textId="77777777" w:rsidTr="00AB086A">
        <w:trPr>
          <w:trHeight w:val="68"/>
          <w:jc w:val="center"/>
        </w:trPr>
        <w:tc>
          <w:tcPr>
            <w:tcW w:w="2410" w:type="dxa"/>
          </w:tcPr>
          <w:p w14:paraId="5D0A9D30" w14:textId="77777777" w:rsidR="00704B0E" w:rsidRPr="00704B0E" w:rsidRDefault="00704B0E" w:rsidP="00704B0E">
            <w:pPr>
              <w:pStyle w:val="Paragraph"/>
              <w:ind w:firstLine="0"/>
            </w:pPr>
            <w:r w:rsidRPr="00704B0E">
              <w:rPr>
                <w:rFonts w:ascii="Calibri" w:hAnsi="Calibri" w:cs="Calibri"/>
                <w:lang w:val="id-ID"/>
              </w:rPr>
              <w:t>﻿</w:t>
            </w:r>
            <w:r w:rsidRPr="00704B0E">
              <w:t>BIC</w:t>
            </w:r>
          </w:p>
        </w:tc>
        <w:tc>
          <w:tcPr>
            <w:tcW w:w="1918" w:type="dxa"/>
            <w:vAlign w:val="center"/>
          </w:tcPr>
          <w:p w14:paraId="7B3D177F" w14:textId="77777777" w:rsidR="00704B0E" w:rsidRPr="00704B0E" w:rsidRDefault="00704B0E" w:rsidP="00704B0E">
            <w:pPr>
              <w:pStyle w:val="Paragraph"/>
              <w:ind w:firstLine="25"/>
            </w:pPr>
            <w:r w:rsidRPr="00704B0E">
              <w:rPr>
                <w:lang w:val="id-ID"/>
              </w:rPr>
              <w:t>38,3</w:t>
            </w:r>
            <w:r w:rsidRPr="00704B0E">
              <w:t>49.36</w:t>
            </w:r>
          </w:p>
        </w:tc>
        <w:tc>
          <w:tcPr>
            <w:tcW w:w="2335" w:type="dxa"/>
            <w:vAlign w:val="center"/>
          </w:tcPr>
          <w:p w14:paraId="71BB53E7" w14:textId="77777777" w:rsidR="00704B0E" w:rsidRPr="00704B0E" w:rsidRDefault="00704B0E" w:rsidP="00704B0E">
            <w:pPr>
              <w:pStyle w:val="Paragraph"/>
              <w:ind w:firstLine="25"/>
            </w:pPr>
            <w:r w:rsidRPr="00704B0E">
              <w:rPr>
                <w:lang w:val="id-ID"/>
              </w:rPr>
              <w:t>38,3</w:t>
            </w:r>
            <w:r w:rsidRPr="00704B0E">
              <w:t>23.12</w:t>
            </w:r>
          </w:p>
        </w:tc>
        <w:tc>
          <w:tcPr>
            <w:tcW w:w="2472" w:type="dxa"/>
            <w:vAlign w:val="center"/>
          </w:tcPr>
          <w:p w14:paraId="3A8EACFE" w14:textId="77777777" w:rsidR="00704B0E" w:rsidRPr="00704B0E" w:rsidRDefault="00704B0E" w:rsidP="00704B0E">
            <w:pPr>
              <w:pStyle w:val="Paragraph"/>
              <w:ind w:firstLine="25"/>
            </w:pPr>
            <w:r w:rsidRPr="00704B0E">
              <w:rPr>
                <w:lang w:val="id-ID"/>
              </w:rPr>
              <w:t>38,3</w:t>
            </w:r>
            <w:r w:rsidRPr="00704B0E">
              <w:t>37.18</w:t>
            </w:r>
          </w:p>
        </w:tc>
      </w:tr>
    </w:tbl>
    <w:p w14:paraId="3007E44B" w14:textId="77777777" w:rsidR="00704B0E" w:rsidRPr="00704B0E" w:rsidRDefault="00704B0E" w:rsidP="00704B0E">
      <w:pPr>
        <w:pStyle w:val="Paragraph"/>
      </w:pPr>
      <w:r w:rsidRPr="00704B0E">
        <w:rPr>
          <w:rFonts w:ascii="Calibri" w:hAnsi="Calibri" w:cs="Calibri"/>
        </w:rPr>
        <w:t>﻿</w:t>
      </w:r>
      <w:r w:rsidRPr="00704B0E">
        <w:t>Parameter estimate and standard errors listed in parentheses.</w:t>
      </w:r>
    </w:p>
    <w:p w14:paraId="39CDD5CE" w14:textId="50D7ABF5" w:rsidR="00704B0E" w:rsidRPr="00704B0E" w:rsidRDefault="00704B0E" w:rsidP="00704B0E">
      <w:pPr>
        <w:pStyle w:val="Paragraph"/>
      </w:pPr>
      <w:r w:rsidRPr="00704B0E">
        <w:t xml:space="preserve">*** </w:t>
      </w:r>
      <m:oMath>
        <m:r>
          <w:rPr>
            <w:rFonts w:ascii="Cambria Math" w:hAnsi="Cambria Math"/>
          </w:rPr>
          <m:t>ρ</m:t>
        </m:r>
        <m:r>
          <m:rPr>
            <m:sty m:val="p"/>
          </m:rPr>
          <w:rPr>
            <w:rFonts w:ascii="Cambria Math" w:hAnsi="Cambria Math"/>
          </w:rPr>
          <m:t>&lt;0,001</m:t>
        </m:r>
      </m:oMath>
      <w:r w:rsidRPr="00704B0E">
        <w:t xml:space="preserve">; **  </w:t>
      </w:r>
      <m:oMath>
        <m:r>
          <w:rPr>
            <w:rFonts w:ascii="Cambria Math" w:hAnsi="Cambria Math"/>
          </w:rPr>
          <m:t>ρ</m:t>
        </m:r>
        <m:r>
          <m:rPr>
            <m:sty m:val="p"/>
          </m:rPr>
          <w:rPr>
            <w:rFonts w:ascii="Cambria Math" w:hAnsi="Cambria Math"/>
          </w:rPr>
          <m:t>&lt;0,01</m:t>
        </m:r>
      </m:oMath>
      <w:r w:rsidRPr="00704B0E">
        <w:t xml:space="preserve">; * </w:t>
      </w:r>
      <m:oMath>
        <m:r>
          <w:rPr>
            <w:rFonts w:ascii="Cambria Math" w:hAnsi="Cambria Math"/>
          </w:rPr>
          <m:t>ρ</m:t>
        </m:r>
        <m:r>
          <m:rPr>
            <m:sty m:val="p"/>
          </m:rPr>
          <w:rPr>
            <w:rFonts w:ascii="Cambria Math" w:hAnsi="Cambria Math"/>
          </w:rPr>
          <m:t>&lt;0,05</m:t>
        </m:r>
      </m:oMath>
    </w:p>
    <w:p w14:paraId="3183EF67" w14:textId="77777777" w:rsidR="00704B0E" w:rsidRDefault="00704B0E" w:rsidP="00656625">
      <w:pPr>
        <w:pStyle w:val="Paragraph"/>
      </w:pPr>
    </w:p>
    <w:p w14:paraId="7CA41CF2" w14:textId="19E25A43" w:rsidR="008010AD" w:rsidRPr="00704B0E" w:rsidRDefault="008010AD" w:rsidP="008010AD">
      <w:pPr>
        <w:pStyle w:val="Paragraph"/>
        <w:jc w:val="center"/>
        <w:rPr>
          <w:iCs/>
        </w:rPr>
      </w:pPr>
      <w:r w:rsidRPr="00545BF9">
        <w:rPr>
          <w:b/>
          <w:bCs/>
        </w:rPr>
        <w:t>TABLE</w:t>
      </w:r>
      <w:r w:rsidRPr="00963E65">
        <w:rPr>
          <w:b/>
          <w:bCs/>
          <w:lang w:val="id-ID"/>
        </w:rPr>
        <w:t xml:space="preserve"> </w:t>
      </w:r>
      <w:r w:rsidR="00AA27D0">
        <w:rPr>
          <w:b/>
          <w:bCs/>
        </w:rPr>
        <w:t>6</w:t>
      </w:r>
      <w:r w:rsidRPr="00963E65">
        <w:rPr>
          <w:b/>
          <w:bCs/>
          <w:lang w:val="id-ID"/>
        </w:rPr>
        <w:t>.</w:t>
      </w:r>
      <w:r w:rsidRPr="00963E65">
        <w:rPr>
          <w:lang w:val="id-ID"/>
        </w:rPr>
        <w:t xml:space="preserve"> </w:t>
      </w:r>
      <w:r>
        <w:rPr>
          <w:iCs/>
        </w:rPr>
        <w:t xml:space="preserve">Model Summaries of All Multilevel Models in This Study. Null Model, Model 1: Level-1 and Level-2 Predictors Fixed, Model 2 </w:t>
      </w:r>
      <w:r w:rsidRPr="00197B7C">
        <w:rPr>
          <w:rFonts w:ascii="Calibri" w:hAnsi="Calibri" w:cs="Calibri"/>
          <w:iCs/>
        </w:rPr>
        <w:t>﻿</w:t>
      </w:r>
      <w:r w:rsidRPr="00197B7C">
        <w:rPr>
          <w:iCs/>
        </w:rPr>
        <w:t xml:space="preserve">with </w:t>
      </w:r>
      <w:r>
        <w:rPr>
          <w:iCs/>
        </w:rPr>
        <w:t>F</w:t>
      </w:r>
      <w:r w:rsidRPr="00197B7C">
        <w:rPr>
          <w:iCs/>
        </w:rPr>
        <w:t xml:space="preserve">ixed </w:t>
      </w:r>
      <w:r>
        <w:rPr>
          <w:iCs/>
        </w:rPr>
        <w:t>L</w:t>
      </w:r>
      <w:r w:rsidRPr="00197B7C">
        <w:rPr>
          <w:iCs/>
        </w:rPr>
        <w:t xml:space="preserve">evel-1 and 2 </w:t>
      </w:r>
      <w:r>
        <w:rPr>
          <w:iCs/>
        </w:rPr>
        <w:t>P</w:t>
      </w:r>
      <w:r w:rsidRPr="00197B7C">
        <w:rPr>
          <w:iCs/>
        </w:rPr>
        <w:t xml:space="preserve">redictors and </w:t>
      </w:r>
      <w:r>
        <w:rPr>
          <w:iCs/>
        </w:rPr>
        <w:t>R</w:t>
      </w:r>
      <w:r w:rsidRPr="00197B7C">
        <w:rPr>
          <w:iCs/>
        </w:rPr>
        <w:t xml:space="preserve">andom </w:t>
      </w:r>
      <w:r>
        <w:rPr>
          <w:iCs/>
        </w:rPr>
        <w:t>L</w:t>
      </w:r>
      <w:r w:rsidRPr="00197B7C">
        <w:rPr>
          <w:iCs/>
        </w:rPr>
        <w:t xml:space="preserve">evel-2 </w:t>
      </w:r>
      <w:r>
        <w:rPr>
          <w:iCs/>
        </w:rPr>
        <w:t>P</w:t>
      </w:r>
      <w:r w:rsidRPr="00197B7C">
        <w:rPr>
          <w:iCs/>
        </w:rPr>
        <w:t>redictor</w:t>
      </w:r>
      <w:r>
        <w:rPr>
          <w:iCs/>
        </w:rPr>
        <w:t xml:space="preserve"> for the Aspect of Formulate. </w:t>
      </w: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2410"/>
        <w:gridCol w:w="1918"/>
        <w:gridCol w:w="1984"/>
        <w:gridCol w:w="2472"/>
      </w:tblGrid>
      <w:tr w:rsidR="00AA27D0" w:rsidRPr="00704B0E" w14:paraId="1C501A4A" w14:textId="77777777" w:rsidTr="00D123CB">
        <w:trPr>
          <w:trHeight w:val="58"/>
          <w:jc w:val="center"/>
        </w:trPr>
        <w:tc>
          <w:tcPr>
            <w:tcW w:w="2410" w:type="dxa"/>
            <w:tcBorders>
              <w:top w:val="single" w:sz="4" w:space="0" w:color="auto"/>
              <w:bottom w:val="single" w:sz="4" w:space="0" w:color="auto"/>
            </w:tcBorders>
            <w:shd w:val="clear" w:color="auto" w:fill="auto"/>
            <w:vAlign w:val="center"/>
          </w:tcPr>
          <w:p w14:paraId="4BEB5D3E" w14:textId="77777777" w:rsidR="00AA27D0" w:rsidRPr="00704B0E" w:rsidRDefault="00AA27D0" w:rsidP="00D123CB">
            <w:pPr>
              <w:pStyle w:val="Paragraph"/>
              <w:ind w:firstLine="0"/>
              <w:rPr>
                <w:b/>
                <w:bCs/>
                <w:sz w:val="18"/>
                <w:szCs w:val="18"/>
              </w:rPr>
            </w:pPr>
            <w:r w:rsidRPr="00704B0E">
              <w:rPr>
                <w:b/>
                <w:bCs/>
                <w:sz w:val="18"/>
                <w:szCs w:val="18"/>
              </w:rPr>
              <w:t>Parameter</w:t>
            </w:r>
          </w:p>
        </w:tc>
        <w:tc>
          <w:tcPr>
            <w:tcW w:w="1918" w:type="dxa"/>
            <w:tcBorders>
              <w:top w:val="single" w:sz="4" w:space="0" w:color="auto"/>
              <w:bottom w:val="single" w:sz="4" w:space="0" w:color="auto"/>
            </w:tcBorders>
            <w:shd w:val="clear" w:color="auto" w:fill="auto"/>
            <w:vAlign w:val="center"/>
          </w:tcPr>
          <w:p w14:paraId="1F64F17C" w14:textId="77777777" w:rsidR="00AA27D0" w:rsidRPr="00704B0E" w:rsidRDefault="00AA27D0" w:rsidP="00D123CB">
            <w:pPr>
              <w:pStyle w:val="Paragraph"/>
              <w:ind w:firstLine="25"/>
              <w:rPr>
                <w:b/>
                <w:bCs/>
                <w:sz w:val="18"/>
                <w:szCs w:val="18"/>
              </w:rPr>
            </w:pPr>
            <w:r w:rsidRPr="00704B0E">
              <w:rPr>
                <w:b/>
                <w:bCs/>
                <w:sz w:val="18"/>
                <w:szCs w:val="18"/>
              </w:rPr>
              <w:t>Null Model</w:t>
            </w:r>
          </w:p>
        </w:tc>
        <w:tc>
          <w:tcPr>
            <w:tcW w:w="1984" w:type="dxa"/>
            <w:tcBorders>
              <w:top w:val="single" w:sz="4" w:space="0" w:color="auto"/>
              <w:bottom w:val="single" w:sz="4" w:space="0" w:color="auto"/>
            </w:tcBorders>
            <w:shd w:val="clear" w:color="auto" w:fill="auto"/>
            <w:vAlign w:val="center"/>
          </w:tcPr>
          <w:p w14:paraId="7E90F357" w14:textId="77777777" w:rsidR="00AA27D0" w:rsidRPr="00704B0E" w:rsidRDefault="00AA27D0" w:rsidP="00D123CB">
            <w:pPr>
              <w:pStyle w:val="Paragraph"/>
              <w:ind w:firstLine="25"/>
              <w:rPr>
                <w:b/>
                <w:bCs/>
                <w:sz w:val="18"/>
                <w:szCs w:val="18"/>
              </w:rPr>
            </w:pPr>
            <w:r w:rsidRPr="00704B0E">
              <w:rPr>
                <w:b/>
                <w:bCs/>
                <w:sz w:val="18"/>
                <w:szCs w:val="18"/>
              </w:rPr>
              <w:t xml:space="preserve">Model 1 </w:t>
            </w:r>
          </w:p>
          <w:p w14:paraId="19D453E2" w14:textId="77777777" w:rsidR="00AA27D0" w:rsidRPr="00704B0E" w:rsidRDefault="00AA27D0" w:rsidP="00D123CB">
            <w:pPr>
              <w:pStyle w:val="Paragraph"/>
              <w:ind w:firstLine="25"/>
              <w:rPr>
                <w:b/>
                <w:bCs/>
                <w:sz w:val="18"/>
                <w:szCs w:val="18"/>
              </w:rPr>
            </w:pPr>
            <w:r w:rsidRPr="00704B0E">
              <w:rPr>
                <w:b/>
                <w:bCs/>
                <w:sz w:val="18"/>
                <w:szCs w:val="18"/>
              </w:rPr>
              <w:t>level-1 &amp; level-2: fixed</w:t>
            </w:r>
          </w:p>
        </w:tc>
        <w:tc>
          <w:tcPr>
            <w:tcW w:w="2472" w:type="dxa"/>
            <w:tcBorders>
              <w:top w:val="single" w:sz="4" w:space="0" w:color="auto"/>
              <w:bottom w:val="single" w:sz="4" w:space="0" w:color="auto"/>
            </w:tcBorders>
            <w:shd w:val="clear" w:color="auto" w:fill="auto"/>
            <w:vAlign w:val="center"/>
          </w:tcPr>
          <w:p w14:paraId="01A2C193" w14:textId="77777777" w:rsidR="00AA27D0" w:rsidRPr="00704B0E" w:rsidRDefault="00AA27D0" w:rsidP="00D123CB">
            <w:pPr>
              <w:pStyle w:val="Paragraph"/>
              <w:ind w:firstLine="25"/>
              <w:rPr>
                <w:b/>
                <w:bCs/>
                <w:sz w:val="18"/>
                <w:szCs w:val="18"/>
              </w:rPr>
            </w:pPr>
            <w:r w:rsidRPr="00704B0E">
              <w:rPr>
                <w:b/>
                <w:bCs/>
                <w:sz w:val="18"/>
                <w:szCs w:val="18"/>
              </w:rPr>
              <w:t>Model 2</w:t>
            </w:r>
          </w:p>
          <w:p w14:paraId="5BE8C7EB" w14:textId="77777777" w:rsidR="00AA27D0" w:rsidRPr="00704B0E" w:rsidRDefault="00AA27D0" w:rsidP="00D123CB">
            <w:pPr>
              <w:pStyle w:val="Paragraph"/>
              <w:ind w:firstLine="25"/>
              <w:rPr>
                <w:b/>
                <w:bCs/>
                <w:sz w:val="18"/>
                <w:szCs w:val="18"/>
              </w:rPr>
            </w:pPr>
            <w:r w:rsidRPr="00704B0E">
              <w:rPr>
                <w:b/>
                <w:bCs/>
                <w:sz w:val="18"/>
                <w:szCs w:val="18"/>
              </w:rPr>
              <w:t>Level-1 &amp; level-2:</w:t>
            </w:r>
            <w:r>
              <w:rPr>
                <w:b/>
                <w:bCs/>
                <w:sz w:val="18"/>
                <w:szCs w:val="18"/>
              </w:rPr>
              <w:t xml:space="preserve"> fixed</w:t>
            </w:r>
          </w:p>
          <w:p w14:paraId="0C4A5FF6" w14:textId="77777777" w:rsidR="00AA27D0" w:rsidRPr="00704B0E" w:rsidRDefault="00AA27D0" w:rsidP="00D123CB">
            <w:pPr>
              <w:pStyle w:val="Paragraph"/>
              <w:ind w:firstLine="25"/>
              <w:rPr>
                <w:b/>
                <w:bCs/>
                <w:sz w:val="18"/>
                <w:szCs w:val="18"/>
              </w:rPr>
            </w:pPr>
            <w:r w:rsidRPr="00704B0E">
              <w:rPr>
                <w:b/>
                <w:bCs/>
                <w:sz w:val="18"/>
                <w:szCs w:val="18"/>
              </w:rPr>
              <w:t>Level -2 random</w:t>
            </w:r>
          </w:p>
        </w:tc>
      </w:tr>
      <w:tr w:rsidR="00AA27D0" w:rsidRPr="00704B0E" w14:paraId="093B6DEE" w14:textId="77777777" w:rsidTr="00D123CB">
        <w:trPr>
          <w:trHeight w:val="68"/>
          <w:jc w:val="center"/>
        </w:trPr>
        <w:tc>
          <w:tcPr>
            <w:tcW w:w="2410" w:type="dxa"/>
            <w:tcBorders>
              <w:top w:val="single" w:sz="4" w:space="0" w:color="auto"/>
            </w:tcBorders>
          </w:tcPr>
          <w:p w14:paraId="480D4C05" w14:textId="77777777" w:rsidR="00AA27D0" w:rsidRPr="00704B0E" w:rsidRDefault="00AA27D0" w:rsidP="00D123CB">
            <w:pPr>
              <w:pStyle w:val="Paragraph"/>
              <w:ind w:firstLine="0"/>
              <w:rPr>
                <w:i/>
                <w:iCs/>
              </w:rPr>
            </w:pPr>
            <w:r w:rsidRPr="00704B0E">
              <w:rPr>
                <w:i/>
                <w:iCs/>
              </w:rPr>
              <w:t xml:space="preserve">Fixed effects </w:t>
            </w:r>
          </w:p>
        </w:tc>
        <w:tc>
          <w:tcPr>
            <w:tcW w:w="1918" w:type="dxa"/>
            <w:tcBorders>
              <w:top w:val="single" w:sz="4" w:space="0" w:color="auto"/>
            </w:tcBorders>
          </w:tcPr>
          <w:p w14:paraId="412A2C11" w14:textId="77777777" w:rsidR="00AA27D0" w:rsidRPr="00704B0E" w:rsidRDefault="00AA27D0" w:rsidP="00D123CB">
            <w:pPr>
              <w:pStyle w:val="Paragraph"/>
              <w:ind w:firstLine="25"/>
            </w:pPr>
          </w:p>
        </w:tc>
        <w:tc>
          <w:tcPr>
            <w:tcW w:w="1984" w:type="dxa"/>
            <w:tcBorders>
              <w:top w:val="single" w:sz="4" w:space="0" w:color="auto"/>
            </w:tcBorders>
          </w:tcPr>
          <w:p w14:paraId="09E95043" w14:textId="77777777" w:rsidR="00AA27D0" w:rsidRPr="00704B0E" w:rsidRDefault="00AA27D0" w:rsidP="00D123CB">
            <w:pPr>
              <w:pStyle w:val="Paragraph"/>
              <w:ind w:firstLine="25"/>
            </w:pPr>
          </w:p>
        </w:tc>
        <w:tc>
          <w:tcPr>
            <w:tcW w:w="2472" w:type="dxa"/>
            <w:tcBorders>
              <w:top w:val="single" w:sz="4" w:space="0" w:color="auto"/>
            </w:tcBorders>
          </w:tcPr>
          <w:p w14:paraId="56B8C3C6" w14:textId="77777777" w:rsidR="00AA27D0" w:rsidRPr="00704B0E" w:rsidRDefault="00AA27D0" w:rsidP="00D123CB">
            <w:pPr>
              <w:pStyle w:val="Paragraph"/>
              <w:ind w:firstLine="25"/>
            </w:pPr>
          </w:p>
        </w:tc>
      </w:tr>
      <w:tr w:rsidR="00AA27D0" w:rsidRPr="00704B0E" w14:paraId="57D15CF5" w14:textId="77777777" w:rsidTr="00D123CB">
        <w:trPr>
          <w:trHeight w:val="68"/>
          <w:jc w:val="center"/>
        </w:trPr>
        <w:tc>
          <w:tcPr>
            <w:tcW w:w="2410" w:type="dxa"/>
          </w:tcPr>
          <w:p w14:paraId="47F5059F" w14:textId="77777777" w:rsidR="00AA27D0" w:rsidRPr="00704B0E" w:rsidRDefault="00AA27D0" w:rsidP="00AA27D0">
            <w:pPr>
              <w:pStyle w:val="Paragraph"/>
              <w:ind w:firstLine="0"/>
              <w:rPr>
                <w:i/>
                <w:iCs/>
              </w:rPr>
            </w:pPr>
            <w:r w:rsidRPr="00704B0E">
              <w:rPr>
                <w:i/>
                <w:iCs/>
              </w:rPr>
              <w:t xml:space="preserve">Intercept </w:t>
            </w:r>
          </w:p>
        </w:tc>
        <w:tc>
          <w:tcPr>
            <w:tcW w:w="1918" w:type="dxa"/>
          </w:tcPr>
          <w:p w14:paraId="1DE58D84" w14:textId="20922737" w:rsidR="00AA27D0" w:rsidRPr="00704B0E" w:rsidRDefault="00AA27D0" w:rsidP="00AA27D0">
            <w:pPr>
              <w:pStyle w:val="Paragraph"/>
              <w:ind w:firstLine="25"/>
            </w:pPr>
            <w:r w:rsidRPr="002E57F2">
              <w:t xml:space="preserve">370.75 (3.95) </w:t>
            </w:r>
          </w:p>
        </w:tc>
        <w:tc>
          <w:tcPr>
            <w:tcW w:w="1984" w:type="dxa"/>
          </w:tcPr>
          <w:p w14:paraId="0A72B1E3" w14:textId="243EACD0" w:rsidR="00AA27D0" w:rsidRPr="00704B0E" w:rsidRDefault="00AA27D0" w:rsidP="00AA27D0">
            <w:pPr>
              <w:pStyle w:val="Paragraph"/>
              <w:ind w:firstLine="25"/>
            </w:pPr>
            <w:r w:rsidRPr="002E57F2">
              <w:t>309.74(9.</w:t>
            </w:r>
            <w:proofErr w:type="gramStart"/>
            <w:r w:rsidRPr="002E57F2">
              <w:t>43 )</w:t>
            </w:r>
            <w:proofErr w:type="gramEnd"/>
            <w:r w:rsidRPr="002E57F2">
              <w:t>***</w:t>
            </w:r>
          </w:p>
        </w:tc>
        <w:tc>
          <w:tcPr>
            <w:tcW w:w="2472" w:type="dxa"/>
          </w:tcPr>
          <w:p w14:paraId="6D1EF607" w14:textId="0E995A28" w:rsidR="00AA27D0" w:rsidRPr="00704B0E" w:rsidRDefault="00AA27D0" w:rsidP="00AA27D0">
            <w:pPr>
              <w:pStyle w:val="Paragraph"/>
              <w:ind w:firstLine="25"/>
            </w:pPr>
            <w:r w:rsidRPr="002E57F2">
              <w:t xml:space="preserve"> </w:t>
            </w:r>
            <w:proofErr w:type="gramStart"/>
            <w:r w:rsidRPr="002E57F2">
              <w:t>309.77  (</w:t>
            </w:r>
            <w:proofErr w:type="gramEnd"/>
            <w:r w:rsidRPr="002E57F2">
              <w:t>9.49)***</w:t>
            </w:r>
          </w:p>
        </w:tc>
      </w:tr>
      <w:tr w:rsidR="00AB086A" w:rsidRPr="00704B0E" w14:paraId="7E92E36A" w14:textId="77777777" w:rsidTr="00D123CB">
        <w:trPr>
          <w:trHeight w:val="68"/>
          <w:jc w:val="center"/>
        </w:trPr>
        <w:tc>
          <w:tcPr>
            <w:tcW w:w="2410" w:type="dxa"/>
          </w:tcPr>
          <w:p w14:paraId="15E80AEF" w14:textId="47EEA243" w:rsidR="00AB086A" w:rsidRPr="00704B0E" w:rsidRDefault="00AB086A" w:rsidP="00AB086A">
            <w:pPr>
              <w:pStyle w:val="Paragraph"/>
              <w:ind w:firstLine="0"/>
            </w:pPr>
            <w:r w:rsidRPr="00704B0E">
              <w:rPr>
                <w:i/>
                <w:iCs/>
              </w:rPr>
              <w:t xml:space="preserve">Intercept </w:t>
            </w:r>
            <m:oMath>
              <m:d>
                <m:dPr>
                  <m:ctrlPr>
                    <w:rPr>
                      <w:rFonts w:ascii="Cambria Math" w:hAnsi="Cambria Math"/>
                      <w:i/>
                      <w:iCs/>
                    </w:rPr>
                  </m:ctrlPr>
                </m:dPr>
                <m:e>
                  <m:sSub>
                    <m:sSubPr>
                      <m:ctrlPr>
                        <w:rPr>
                          <w:rFonts w:ascii="Cambria Math" w:hAnsi="Cambria Math"/>
                          <w:i/>
                          <w:iCs/>
                        </w:rPr>
                      </m:ctrlPr>
                    </m:sSubPr>
                    <m:e>
                      <m:r>
                        <w:rPr>
                          <w:rFonts w:ascii="Cambria Math" w:hAnsi="Cambria Math"/>
                        </w:rPr>
                        <m:t>γ</m:t>
                      </m:r>
                    </m:e>
                    <m:sub>
                      <m:r>
                        <w:rPr>
                          <w:rFonts w:ascii="Cambria Math" w:hAnsi="Cambria Math"/>
                        </w:rPr>
                        <m:t>00</m:t>
                      </m:r>
                    </m:sub>
                  </m:sSub>
                </m:e>
              </m:d>
            </m:oMath>
          </w:p>
        </w:tc>
        <w:tc>
          <w:tcPr>
            <w:tcW w:w="1918" w:type="dxa"/>
          </w:tcPr>
          <w:p w14:paraId="01F823D5" w14:textId="0CD53E9D" w:rsidR="00AB086A" w:rsidRPr="00704B0E" w:rsidRDefault="00AB086A" w:rsidP="00AB086A">
            <w:pPr>
              <w:pStyle w:val="Paragraph"/>
              <w:ind w:firstLine="25"/>
            </w:pPr>
            <w:r w:rsidRPr="002E57F2">
              <w:t>-</w:t>
            </w:r>
          </w:p>
        </w:tc>
        <w:tc>
          <w:tcPr>
            <w:tcW w:w="1984" w:type="dxa"/>
          </w:tcPr>
          <w:p w14:paraId="27834DEA" w14:textId="1F46AEAA" w:rsidR="00AB086A" w:rsidRPr="00704B0E" w:rsidRDefault="00AB086A" w:rsidP="00AB086A">
            <w:pPr>
              <w:pStyle w:val="Paragraph"/>
              <w:ind w:firstLine="25"/>
            </w:pPr>
            <w:r w:rsidRPr="002E57F2">
              <w:t>2.67 (</w:t>
            </w:r>
            <w:proofErr w:type="gramStart"/>
            <w:r w:rsidRPr="002E57F2">
              <w:t>0.56)*</w:t>
            </w:r>
            <w:proofErr w:type="gramEnd"/>
            <w:r w:rsidRPr="002E57F2">
              <w:t>**</w:t>
            </w:r>
          </w:p>
        </w:tc>
        <w:tc>
          <w:tcPr>
            <w:tcW w:w="2472" w:type="dxa"/>
          </w:tcPr>
          <w:p w14:paraId="7350D1F0" w14:textId="34FADF6A" w:rsidR="00AB086A" w:rsidRPr="00704B0E" w:rsidRDefault="00AB086A" w:rsidP="00AB086A">
            <w:pPr>
              <w:pStyle w:val="Paragraph"/>
              <w:ind w:firstLine="25"/>
            </w:pPr>
            <w:r w:rsidRPr="002E57F2">
              <w:t xml:space="preserve"> 2.67 (</w:t>
            </w:r>
            <w:proofErr w:type="gramStart"/>
            <w:r w:rsidRPr="002E57F2">
              <w:t>0.56)*</w:t>
            </w:r>
            <w:proofErr w:type="gramEnd"/>
            <w:r w:rsidRPr="002E57F2">
              <w:t>**</w:t>
            </w:r>
          </w:p>
        </w:tc>
      </w:tr>
      <w:tr w:rsidR="00AB086A" w:rsidRPr="00704B0E" w14:paraId="6E6D2E7B" w14:textId="77777777" w:rsidTr="00D123CB">
        <w:trPr>
          <w:trHeight w:val="68"/>
          <w:jc w:val="center"/>
        </w:trPr>
        <w:tc>
          <w:tcPr>
            <w:tcW w:w="2410" w:type="dxa"/>
          </w:tcPr>
          <w:p w14:paraId="642B43D4" w14:textId="5C98AEE0" w:rsidR="00AB086A" w:rsidRPr="00704B0E" w:rsidRDefault="00AB086A" w:rsidP="00AB086A">
            <w:pPr>
              <w:pStyle w:val="Paragraph"/>
              <w:ind w:firstLine="0"/>
            </w:pPr>
            <w:r w:rsidRPr="00704B0E">
              <w:t>Teacher support</w:t>
            </w:r>
            <w:r>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10</m:t>
                      </m:r>
                    </m:sub>
                  </m:sSub>
                </m:e>
              </m:d>
            </m:oMath>
          </w:p>
        </w:tc>
        <w:tc>
          <w:tcPr>
            <w:tcW w:w="1918" w:type="dxa"/>
          </w:tcPr>
          <w:p w14:paraId="6AD612A0" w14:textId="6673A901" w:rsidR="00AB086A" w:rsidRPr="00704B0E" w:rsidRDefault="00AB086A" w:rsidP="00AB086A">
            <w:pPr>
              <w:pStyle w:val="Paragraph"/>
              <w:ind w:firstLine="25"/>
            </w:pPr>
            <w:r w:rsidRPr="002E57F2">
              <w:t>-</w:t>
            </w:r>
          </w:p>
        </w:tc>
        <w:tc>
          <w:tcPr>
            <w:tcW w:w="1984" w:type="dxa"/>
          </w:tcPr>
          <w:p w14:paraId="31957292" w14:textId="4D9DD14C" w:rsidR="00AB086A" w:rsidRPr="00704B0E" w:rsidRDefault="00AB086A" w:rsidP="00AB086A">
            <w:pPr>
              <w:pStyle w:val="Paragraph"/>
              <w:ind w:firstLine="25"/>
            </w:pPr>
            <w:r w:rsidRPr="002E57F2">
              <w:t xml:space="preserve"> 1.19 (</w:t>
            </w:r>
            <w:proofErr w:type="gramStart"/>
            <w:r w:rsidRPr="002E57F2">
              <w:t>0.21)*</w:t>
            </w:r>
            <w:proofErr w:type="gramEnd"/>
            <w:r w:rsidRPr="002E57F2">
              <w:t>**</w:t>
            </w:r>
          </w:p>
        </w:tc>
        <w:tc>
          <w:tcPr>
            <w:tcW w:w="2472" w:type="dxa"/>
          </w:tcPr>
          <w:p w14:paraId="4D591AFD" w14:textId="6EC8D41A" w:rsidR="00AB086A" w:rsidRPr="00704B0E" w:rsidRDefault="00AB086A" w:rsidP="00AB086A">
            <w:pPr>
              <w:pStyle w:val="Paragraph"/>
              <w:ind w:firstLine="25"/>
            </w:pPr>
            <w:r w:rsidRPr="002E57F2">
              <w:t xml:space="preserve"> 1.19 (</w:t>
            </w:r>
            <w:proofErr w:type="gramStart"/>
            <w:r w:rsidRPr="002E57F2">
              <w:t>0.21)*</w:t>
            </w:r>
            <w:proofErr w:type="gramEnd"/>
            <w:r w:rsidRPr="002E57F2">
              <w:t>**</w:t>
            </w:r>
          </w:p>
        </w:tc>
      </w:tr>
      <w:tr w:rsidR="00AB086A" w:rsidRPr="00704B0E" w14:paraId="174317ED" w14:textId="77777777" w:rsidTr="00D123CB">
        <w:trPr>
          <w:trHeight w:val="68"/>
          <w:jc w:val="center"/>
        </w:trPr>
        <w:tc>
          <w:tcPr>
            <w:tcW w:w="2410" w:type="dxa"/>
          </w:tcPr>
          <w:p w14:paraId="6D9D04F7" w14:textId="1F2D1581" w:rsidR="00AB086A" w:rsidRPr="00704B0E" w:rsidRDefault="00AB086A" w:rsidP="00AB086A">
            <w:pPr>
              <w:pStyle w:val="Paragraph"/>
              <w:ind w:firstLine="0"/>
            </w:pPr>
            <w:r w:rsidRPr="00704B0E">
              <w:t>Cognitive activation</w:t>
            </w:r>
            <w:r>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20</m:t>
                      </m:r>
                    </m:sub>
                  </m:sSub>
                </m:e>
              </m:d>
            </m:oMath>
          </w:p>
        </w:tc>
        <w:tc>
          <w:tcPr>
            <w:tcW w:w="1918" w:type="dxa"/>
          </w:tcPr>
          <w:p w14:paraId="3BD4614E" w14:textId="5DA4A09F" w:rsidR="00AB086A" w:rsidRPr="00704B0E" w:rsidRDefault="00AB086A" w:rsidP="00AB086A">
            <w:pPr>
              <w:pStyle w:val="Paragraph"/>
              <w:ind w:firstLine="25"/>
            </w:pPr>
            <w:r w:rsidRPr="002E57F2">
              <w:t>-</w:t>
            </w:r>
          </w:p>
        </w:tc>
        <w:tc>
          <w:tcPr>
            <w:tcW w:w="1984" w:type="dxa"/>
          </w:tcPr>
          <w:p w14:paraId="5DA5C4A0" w14:textId="5A35B6BA" w:rsidR="00AB086A" w:rsidRPr="00704B0E" w:rsidRDefault="00AB086A" w:rsidP="00AB086A">
            <w:pPr>
              <w:pStyle w:val="Paragraph"/>
              <w:ind w:firstLine="25"/>
            </w:pPr>
            <w:r w:rsidRPr="002E57F2">
              <w:t>-10.04 (7.80)</w:t>
            </w:r>
          </w:p>
        </w:tc>
        <w:tc>
          <w:tcPr>
            <w:tcW w:w="2472" w:type="dxa"/>
          </w:tcPr>
          <w:p w14:paraId="3B751F6B" w14:textId="4C68ABFA" w:rsidR="00AB086A" w:rsidRPr="00704B0E" w:rsidRDefault="00AB086A" w:rsidP="00AB086A">
            <w:pPr>
              <w:pStyle w:val="Paragraph"/>
              <w:ind w:firstLine="25"/>
            </w:pPr>
            <w:r w:rsidRPr="002E57F2">
              <w:t xml:space="preserve"> -10.</w:t>
            </w:r>
            <w:proofErr w:type="gramStart"/>
            <w:r w:rsidRPr="002E57F2">
              <w:t>05  (</w:t>
            </w:r>
            <w:proofErr w:type="gramEnd"/>
            <w:r w:rsidRPr="002E57F2">
              <w:t>7.77)</w:t>
            </w:r>
          </w:p>
        </w:tc>
      </w:tr>
      <w:tr w:rsidR="00AA27D0" w:rsidRPr="00704B0E" w14:paraId="046B6FCA" w14:textId="77777777" w:rsidTr="00930A58">
        <w:trPr>
          <w:trHeight w:val="68"/>
          <w:jc w:val="center"/>
        </w:trPr>
        <w:tc>
          <w:tcPr>
            <w:tcW w:w="2410" w:type="dxa"/>
          </w:tcPr>
          <w:p w14:paraId="03F9A097" w14:textId="77777777" w:rsidR="00AA27D0" w:rsidRPr="00704B0E" w:rsidRDefault="00AA27D0" w:rsidP="00AA27D0">
            <w:pPr>
              <w:pStyle w:val="Paragraph"/>
              <w:ind w:firstLine="0"/>
            </w:pPr>
            <w:r w:rsidRPr="00704B0E">
              <w:t xml:space="preserve">Random effects </w:t>
            </w:r>
          </w:p>
        </w:tc>
        <w:tc>
          <w:tcPr>
            <w:tcW w:w="1918" w:type="dxa"/>
          </w:tcPr>
          <w:p w14:paraId="1A926AE5" w14:textId="77777777" w:rsidR="00AA27D0" w:rsidRPr="00704B0E" w:rsidRDefault="00AA27D0" w:rsidP="00AA27D0">
            <w:pPr>
              <w:pStyle w:val="Paragraph"/>
              <w:ind w:firstLine="25"/>
            </w:pPr>
          </w:p>
        </w:tc>
        <w:tc>
          <w:tcPr>
            <w:tcW w:w="1984" w:type="dxa"/>
          </w:tcPr>
          <w:p w14:paraId="7E1B82D8" w14:textId="669A70EE" w:rsidR="00AA27D0" w:rsidRPr="00704B0E" w:rsidRDefault="00AA27D0" w:rsidP="00AA27D0">
            <w:pPr>
              <w:pStyle w:val="Paragraph"/>
              <w:ind w:firstLine="25"/>
            </w:pPr>
            <w:r w:rsidRPr="002E57F2">
              <w:t xml:space="preserve"> </w:t>
            </w:r>
          </w:p>
        </w:tc>
        <w:tc>
          <w:tcPr>
            <w:tcW w:w="2472" w:type="dxa"/>
          </w:tcPr>
          <w:p w14:paraId="00778665" w14:textId="584A05B5" w:rsidR="00AA27D0" w:rsidRPr="00704B0E" w:rsidRDefault="00AA27D0" w:rsidP="00AA27D0">
            <w:pPr>
              <w:pStyle w:val="Paragraph"/>
              <w:ind w:firstLine="25"/>
            </w:pPr>
            <w:r w:rsidRPr="002E57F2">
              <w:t>2031.49</w:t>
            </w:r>
          </w:p>
        </w:tc>
      </w:tr>
      <w:tr w:rsidR="00AA27D0" w:rsidRPr="00704B0E" w14:paraId="7AE95C73" w14:textId="77777777" w:rsidTr="00930A58">
        <w:trPr>
          <w:trHeight w:val="68"/>
          <w:jc w:val="center"/>
        </w:trPr>
        <w:tc>
          <w:tcPr>
            <w:tcW w:w="2410" w:type="dxa"/>
          </w:tcPr>
          <w:p w14:paraId="28AC5A79" w14:textId="77777777" w:rsidR="00AA27D0" w:rsidRPr="00704B0E" w:rsidRDefault="00AA27D0" w:rsidP="00AA27D0">
            <w:pPr>
              <w:pStyle w:val="Paragraph"/>
              <w:ind w:firstLine="0"/>
            </w:pPr>
            <w:r w:rsidRPr="00704B0E">
              <w:t xml:space="preserve">Residual </w:t>
            </w:r>
            <w:r w:rsidRPr="00704B0E">
              <w:rPr>
                <w:i/>
              </w:rPr>
              <w:t>(</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w:r w:rsidRPr="00704B0E">
              <w:t xml:space="preserve"> </w:t>
            </w:r>
          </w:p>
        </w:tc>
        <w:tc>
          <w:tcPr>
            <w:tcW w:w="1918" w:type="dxa"/>
          </w:tcPr>
          <w:p w14:paraId="77179ADE" w14:textId="19A4C3F2" w:rsidR="00AA27D0" w:rsidRPr="00704B0E" w:rsidRDefault="00AA27D0" w:rsidP="00AA27D0">
            <w:pPr>
              <w:pStyle w:val="Paragraph"/>
              <w:ind w:firstLine="25"/>
            </w:pPr>
            <w:r w:rsidRPr="002E57F2">
              <w:t>2,816.09 (68.375)</w:t>
            </w:r>
          </w:p>
        </w:tc>
        <w:tc>
          <w:tcPr>
            <w:tcW w:w="1984" w:type="dxa"/>
          </w:tcPr>
          <w:p w14:paraId="5F9D3F6E" w14:textId="06CF0261" w:rsidR="00AA27D0" w:rsidRPr="00704B0E" w:rsidRDefault="00AA27D0" w:rsidP="00AA27D0">
            <w:pPr>
              <w:pStyle w:val="Paragraph"/>
              <w:ind w:firstLine="25"/>
            </w:pPr>
            <w:r w:rsidRPr="002E57F2">
              <w:t>2,760.86 (67.046)</w:t>
            </w:r>
          </w:p>
        </w:tc>
        <w:tc>
          <w:tcPr>
            <w:tcW w:w="2472" w:type="dxa"/>
          </w:tcPr>
          <w:p w14:paraId="2E973C19" w14:textId="2A4DD846" w:rsidR="00AA27D0" w:rsidRPr="00704B0E" w:rsidRDefault="00AA27D0" w:rsidP="00AA27D0">
            <w:pPr>
              <w:pStyle w:val="Paragraph"/>
              <w:ind w:firstLine="25"/>
            </w:pPr>
            <w:r w:rsidRPr="002E57F2">
              <w:t>2,760.88</w:t>
            </w:r>
          </w:p>
        </w:tc>
      </w:tr>
      <w:tr w:rsidR="00AA27D0" w:rsidRPr="00704B0E" w14:paraId="201C7B44" w14:textId="77777777" w:rsidTr="00930A58">
        <w:trPr>
          <w:trHeight w:val="68"/>
          <w:jc w:val="center"/>
        </w:trPr>
        <w:tc>
          <w:tcPr>
            <w:tcW w:w="2410" w:type="dxa"/>
          </w:tcPr>
          <w:p w14:paraId="658CB205" w14:textId="77777777" w:rsidR="00AA27D0" w:rsidRPr="00704B0E" w:rsidRDefault="00AA27D0" w:rsidP="00AA27D0">
            <w:pPr>
              <w:pStyle w:val="Paragraph"/>
              <w:ind w:firstLine="0"/>
            </w:pPr>
            <w:r w:rsidRPr="00704B0E">
              <w:t xml:space="preserve">Intercept </w:t>
            </w:r>
            <m:oMath>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00</m:t>
                  </m:r>
                </m:sub>
              </m:sSub>
              <m:r>
                <w:rPr>
                  <w:rFonts w:ascii="Cambria Math" w:hAnsi="Cambria Math"/>
                </w:rPr>
                <m:t>)</m:t>
              </m:r>
            </m:oMath>
          </w:p>
        </w:tc>
        <w:tc>
          <w:tcPr>
            <w:tcW w:w="1918" w:type="dxa"/>
          </w:tcPr>
          <w:p w14:paraId="61964899" w14:textId="3FB96B42" w:rsidR="00AA27D0" w:rsidRPr="00704B0E" w:rsidRDefault="00AA27D0" w:rsidP="00AA27D0">
            <w:pPr>
              <w:pStyle w:val="Paragraph"/>
              <w:ind w:firstLine="25"/>
            </w:pPr>
            <w:r w:rsidRPr="002E57F2">
              <w:t>3,039.65 (319.37)</w:t>
            </w:r>
          </w:p>
        </w:tc>
        <w:tc>
          <w:tcPr>
            <w:tcW w:w="1984" w:type="dxa"/>
          </w:tcPr>
          <w:p w14:paraId="5D6C0D2B" w14:textId="135E979E" w:rsidR="00AA27D0" w:rsidRPr="00704B0E" w:rsidRDefault="00AA27D0" w:rsidP="00AA27D0">
            <w:pPr>
              <w:pStyle w:val="Paragraph"/>
              <w:ind w:firstLine="25"/>
            </w:pPr>
            <w:r w:rsidRPr="002E57F2">
              <w:t>2,942.22 (309.357)</w:t>
            </w:r>
          </w:p>
        </w:tc>
        <w:tc>
          <w:tcPr>
            <w:tcW w:w="2472" w:type="dxa"/>
          </w:tcPr>
          <w:p w14:paraId="15420091" w14:textId="151F271D" w:rsidR="00AA27D0" w:rsidRPr="00704B0E" w:rsidRDefault="00AA27D0" w:rsidP="00AA27D0">
            <w:pPr>
              <w:pStyle w:val="Paragraph"/>
              <w:ind w:firstLine="25"/>
            </w:pPr>
            <w:r w:rsidRPr="002E57F2">
              <w:t>3,073.99</w:t>
            </w:r>
          </w:p>
        </w:tc>
      </w:tr>
      <w:tr w:rsidR="00AA27D0" w:rsidRPr="00704B0E" w14:paraId="3BFC4FBD" w14:textId="77777777" w:rsidTr="00930A58">
        <w:trPr>
          <w:trHeight w:val="68"/>
          <w:jc w:val="center"/>
        </w:trPr>
        <w:tc>
          <w:tcPr>
            <w:tcW w:w="2410" w:type="dxa"/>
          </w:tcPr>
          <w:p w14:paraId="7FB1A934" w14:textId="77777777" w:rsidR="00AA27D0" w:rsidRPr="00704B0E" w:rsidRDefault="00AA27D0" w:rsidP="00AA27D0">
            <w:pPr>
              <w:pStyle w:val="Paragraph"/>
              <w:ind w:firstLine="0"/>
            </w:pPr>
            <w:r w:rsidRPr="00704B0E">
              <w:rPr>
                <w:rFonts w:ascii="Calibri" w:hAnsi="Calibri" w:cs="Calibri"/>
                <w:lang w:val="id-ID"/>
              </w:rPr>
              <w:t>﻿</w:t>
            </w:r>
            <w:proofErr w:type="spellStart"/>
            <w:r w:rsidRPr="00704B0E">
              <w:rPr>
                <w:i/>
                <w:iCs/>
                <w:lang w:val="id-ID"/>
              </w:rPr>
              <w:t>Information</w:t>
            </w:r>
            <w:proofErr w:type="spellEnd"/>
            <w:r w:rsidRPr="00704B0E">
              <w:rPr>
                <w:i/>
                <w:iCs/>
                <w:lang w:val="id-ID"/>
              </w:rPr>
              <w:t xml:space="preserve"> </w:t>
            </w:r>
            <w:proofErr w:type="spellStart"/>
            <w:r w:rsidRPr="00704B0E">
              <w:rPr>
                <w:i/>
                <w:iCs/>
                <w:lang w:val="id-ID"/>
              </w:rPr>
              <w:t>criteria</w:t>
            </w:r>
            <w:proofErr w:type="spellEnd"/>
            <w:r w:rsidRPr="00704B0E">
              <w:rPr>
                <w:lang w:val="id-ID"/>
              </w:rPr>
              <w:t xml:space="preserve"> </w:t>
            </w:r>
          </w:p>
        </w:tc>
        <w:tc>
          <w:tcPr>
            <w:tcW w:w="1918" w:type="dxa"/>
          </w:tcPr>
          <w:p w14:paraId="5DB5375C" w14:textId="77777777" w:rsidR="00AA27D0" w:rsidRPr="00704B0E" w:rsidRDefault="00AA27D0" w:rsidP="00AA27D0">
            <w:pPr>
              <w:pStyle w:val="Paragraph"/>
              <w:ind w:firstLine="25"/>
              <w:rPr>
                <w:lang w:val="id-ID"/>
              </w:rPr>
            </w:pPr>
          </w:p>
        </w:tc>
        <w:tc>
          <w:tcPr>
            <w:tcW w:w="1984" w:type="dxa"/>
          </w:tcPr>
          <w:p w14:paraId="0C19ADD9" w14:textId="77777777" w:rsidR="00AA27D0" w:rsidRPr="00704B0E" w:rsidRDefault="00AA27D0" w:rsidP="00AA27D0">
            <w:pPr>
              <w:pStyle w:val="Paragraph"/>
              <w:ind w:firstLine="25"/>
              <w:rPr>
                <w:lang w:val="id-ID"/>
              </w:rPr>
            </w:pPr>
          </w:p>
        </w:tc>
        <w:tc>
          <w:tcPr>
            <w:tcW w:w="2472" w:type="dxa"/>
          </w:tcPr>
          <w:p w14:paraId="502F271C" w14:textId="77777777" w:rsidR="00AA27D0" w:rsidRPr="00704B0E" w:rsidRDefault="00AA27D0" w:rsidP="00AA27D0">
            <w:pPr>
              <w:pStyle w:val="Paragraph"/>
              <w:ind w:firstLine="25"/>
              <w:rPr>
                <w:lang w:val="id-ID"/>
              </w:rPr>
            </w:pPr>
          </w:p>
        </w:tc>
      </w:tr>
      <w:tr w:rsidR="00AA27D0" w:rsidRPr="00704B0E" w14:paraId="191D55E9" w14:textId="77777777" w:rsidTr="00930A58">
        <w:trPr>
          <w:trHeight w:val="68"/>
          <w:jc w:val="center"/>
        </w:trPr>
        <w:tc>
          <w:tcPr>
            <w:tcW w:w="2410" w:type="dxa"/>
          </w:tcPr>
          <w:p w14:paraId="598BD515" w14:textId="77777777" w:rsidR="00AA27D0" w:rsidRPr="00704B0E" w:rsidRDefault="00AA27D0" w:rsidP="00AA27D0">
            <w:pPr>
              <w:pStyle w:val="Paragraph"/>
              <w:ind w:firstLine="0"/>
            </w:pPr>
            <w:r w:rsidRPr="00704B0E">
              <w:t>AIC</w:t>
            </w:r>
          </w:p>
        </w:tc>
        <w:tc>
          <w:tcPr>
            <w:tcW w:w="1918" w:type="dxa"/>
          </w:tcPr>
          <w:p w14:paraId="647A7525" w14:textId="28246A4C" w:rsidR="00AA27D0" w:rsidRPr="00704B0E" w:rsidRDefault="00AA27D0" w:rsidP="00AA27D0">
            <w:pPr>
              <w:pStyle w:val="Paragraph"/>
              <w:ind w:firstLine="25"/>
            </w:pPr>
            <w:r w:rsidRPr="002E57F2">
              <w:t>39,426.12</w:t>
            </w:r>
          </w:p>
        </w:tc>
        <w:tc>
          <w:tcPr>
            <w:tcW w:w="1984" w:type="dxa"/>
          </w:tcPr>
          <w:p w14:paraId="48ED0992" w14:textId="03F9A852" w:rsidR="00AA27D0" w:rsidRPr="00704B0E" w:rsidRDefault="00AA27D0" w:rsidP="00AA27D0">
            <w:pPr>
              <w:pStyle w:val="Paragraph"/>
              <w:ind w:firstLine="25"/>
            </w:pPr>
            <w:r w:rsidRPr="002E57F2">
              <w:t>39,349.10</w:t>
            </w:r>
          </w:p>
        </w:tc>
        <w:tc>
          <w:tcPr>
            <w:tcW w:w="2472" w:type="dxa"/>
          </w:tcPr>
          <w:p w14:paraId="48950CEA" w14:textId="730A7940" w:rsidR="00AA27D0" w:rsidRPr="00704B0E" w:rsidRDefault="00AA27D0" w:rsidP="00AA27D0">
            <w:pPr>
              <w:pStyle w:val="Paragraph"/>
              <w:ind w:firstLine="25"/>
            </w:pPr>
            <w:r w:rsidRPr="002E57F2">
              <w:t>39,352.88</w:t>
            </w:r>
          </w:p>
        </w:tc>
      </w:tr>
      <w:tr w:rsidR="00AA27D0" w:rsidRPr="00704B0E" w14:paraId="36467018" w14:textId="77777777" w:rsidTr="00930A58">
        <w:trPr>
          <w:trHeight w:val="68"/>
          <w:jc w:val="center"/>
        </w:trPr>
        <w:tc>
          <w:tcPr>
            <w:tcW w:w="2410" w:type="dxa"/>
          </w:tcPr>
          <w:p w14:paraId="15758A83" w14:textId="77777777" w:rsidR="00AA27D0" w:rsidRPr="00704B0E" w:rsidRDefault="00AA27D0" w:rsidP="00AA27D0">
            <w:pPr>
              <w:pStyle w:val="Paragraph"/>
              <w:ind w:firstLine="0"/>
            </w:pPr>
            <w:r w:rsidRPr="00704B0E">
              <w:rPr>
                <w:rFonts w:ascii="Calibri" w:hAnsi="Calibri" w:cs="Calibri"/>
                <w:lang w:val="id-ID"/>
              </w:rPr>
              <w:t>﻿</w:t>
            </w:r>
            <w:r w:rsidRPr="00704B0E">
              <w:t>BIC</w:t>
            </w:r>
          </w:p>
        </w:tc>
        <w:tc>
          <w:tcPr>
            <w:tcW w:w="1918" w:type="dxa"/>
          </w:tcPr>
          <w:p w14:paraId="594F8646" w14:textId="1E34BEF7" w:rsidR="00AA27D0" w:rsidRPr="00704B0E" w:rsidRDefault="00AA27D0" w:rsidP="00AA27D0">
            <w:pPr>
              <w:pStyle w:val="Paragraph"/>
              <w:ind w:firstLine="25"/>
            </w:pPr>
            <w:r w:rsidRPr="002E57F2">
              <w:t>39,444.68</w:t>
            </w:r>
          </w:p>
        </w:tc>
        <w:tc>
          <w:tcPr>
            <w:tcW w:w="1984" w:type="dxa"/>
          </w:tcPr>
          <w:p w14:paraId="5ADF1E98" w14:textId="488FD9D2" w:rsidR="00AA27D0" w:rsidRPr="00704B0E" w:rsidRDefault="00AA27D0" w:rsidP="00AA27D0">
            <w:pPr>
              <w:pStyle w:val="Paragraph"/>
              <w:ind w:firstLine="25"/>
            </w:pPr>
            <w:r w:rsidRPr="002E57F2">
              <w:t>39,386.23</w:t>
            </w:r>
          </w:p>
        </w:tc>
        <w:tc>
          <w:tcPr>
            <w:tcW w:w="2472" w:type="dxa"/>
          </w:tcPr>
          <w:p w14:paraId="3CA58E07" w14:textId="21333206" w:rsidR="00AA27D0" w:rsidRPr="00704B0E" w:rsidRDefault="00AA27D0" w:rsidP="00AA27D0">
            <w:pPr>
              <w:pStyle w:val="Paragraph"/>
              <w:ind w:firstLine="25"/>
            </w:pPr>
            <w:r w:rsidRPr="002E57F2">
              <w:t>39,402.38</w:t>
            </w:r>
          </w:p>
        </w:tc>
      </w:tr>
    </w:tbl>
    <w:p w14:paraId="495921E4" w14:textId="77777777" w:rsidR="00AA27D0" w:rsidRPr="00704B0E" w:rsidRDefault="00AA27D0" w:rsidP="00AA27D0">
      <w:pPr>
        <w:pStyle w:val="Paragraph"/>
      </w:pPr>
      <w:r w:rsidRPr="00704B0E">
        <w:t>Parameter estimate and standard errors listed in parentheses.</w:t>
      </w:r>
    </w:p>
    <w:p w14:paraId="7B76112D" w14:textId="77777777" w:rsidR="00AA27D0" w:rsidRPr="00704B0E" w:rsidRDefault="00AA27D0" w:rsidP="00AA27D0">
      <w:pPr>
        <w:pStyle w:val="Paragraph"/>
      </w:pPr>
      <w:r w:rsidRPr="00704B0E">
        <w:t xml:space="preserve">*** </w:t>
      </w:r>
      <m:oMath>
        <m:r>
          <w:rPr>
            <w:rFonts w:ascii="Cambria Math" w:hAnsi="Cambria Math"/>
          </w:rPr>
          <m:t>ρ</m:t>
        </m:r>
        <m:r>
          <m:rPr>
            <m:sty m:val="p"/>
          </m:rPr>
          <w:rPr>
            <w:rFonts w:ascii="Cambria Math" w:hAnsi="Cambria Math"/>
          </w:rPr>
          <m:t>&lt;0,001</m:t>
        </m:r>
      </m:oMath>
      <w:r w:rsidRPr="00704B0E">
        <w:t xml:space="preserve">; **  </w:t>
      </w:r>
      <m:oMath>
        <m:r>
          <w:rPr>
            <w:rFonts w:ascii="Cambria Math" w:hAnsi="Cambria Math"/>
          </w:rPr>
          <m:t>ρ</m:t>
        </m:r>
        <m:r>
          <m:rPr>
            <m:sty m:val="p"/>
          </m:rPr>
          <w:rPr>
            <w:rFonts w:ascii="Cambria Math" w:hAnsi="Cambria Math"/>
          </w:rPr>
          <m:t>&lt;0,01</m:t>
        </m:r>
      </m:oMath>
      <w:r w:rsidRPr="00704B0E">
        <w:t xml:space="preserve">; * </w:t>
      </w:r>
      <m:oMath>
        <m:r>
          <w:rPr>
            <w:rFonts w:ascii="Cambria Math" w:hAnsi="Cambria Math"/>
          </w:rPr>
          <m:t>ρ</m:t>
        </m:r>
        <m:r>
          <m:rPr>
            <m:sty m:val="p"/>
          </m:rPr>
          <w:rPr>
            <w:rFonts w:ascii="Cambria Math" w:hAnsi="Cambria Math"/>
          </w:rPr>
          <m:t>&lt;0,05</m:t>
        </m:r>
      </m:oMath>
    </w:p>
    <w:p w14:paraId="7B7DD405" w14:textId="77777777" w:rsidR="00AA27D0" w:rsidRDefault="00AA27D0" w:rsidP="00AA27D0">
      <w:pPr>
        <w:pStyle w:val="Paragraph"/>
      </w:pPr>
    </w:p>
    <w:p w14:paraId="50E9D783" w14:textId="32071990" w:rsidR="001B6C93" w:rsidRDefault="001A7555" w:rsidP="001B6C93">
      <w:pPr>
        <w:pStyle w:val="Paragraph"/>
      </w:pPr>
      <w:r>
        <w:t xml:space="preserve">The second predictor is cognitive activation. The cognitive activation is significant in both model 1 and model 2 only for the aspects formulate and interpret with non-zero values of </w:t>
      </w:r>
      <m:oMath>
        <m:sSub>
          <m:sSubPr>
            <m:ctrlPr>
              <w:rPr>
                <w:rFonts w:ascii="Cambria Math" w:hAnsi="Cambria Math"/>
              </w:rPr>
            </m:ctrlPr>
          </m:sSubPr>
          <m:e>
            <m:acc>
              <m:accPr>
                <m:ctrlPr>
                  <w:rPr>
                    <w:rFonts w:ascii="Cambria Math" w:hAnsi="Cambria Math"/>
                    <w:i/>
                  </w:rPr>
                </m:ctrlPr>
              </m:accPr>
              <m:e>
                <m:r>
                  <w:rPr>
                    <w:rFonts w:ascii="Cambria Math" w:hAnsi="Cambria Math"/>
                  </w:rPr>
                  <m:t>γ</m:t>
                </m:r>
              </m:e>
            </m:acc>
          </m:e>
          <m:sub>
            <m:r>
              <w:rPr>
                <w:rFonts w:ascii="Cambria Math" w:hAnsi="Cambria Math"/>
              </w:rPr>
              <m:t>20</m:t>
            </m:r>
          </m:sub>
        </m:sSub>
        <m:r>
          <w:rPr>
            <w:rFonts w:ascii="Cambria Math" w:hAnsi="Cambria Math"/>
          </w:rPr>
          <m:t xml:space="preserve"> </m:t>
        </m:r>
      </m:oMath>
      <w:r>
        <w:t xml:space="preserve"> and </w:t>
      </w:r>
      <m:oMath>
        <m:r>
          <w:rPr>
            <w:rFonts w:ascii="Cambria Math" w:hAnsi="Cambria Math"/>
          </w:rPr>
          <m:t>ρ</m:t>
        </m:r>
        <m:r>
          <m:rPr>
            <m:sty m:val="p"/>
          </m:rPr>
          <w:rPr>
            <w:rFonts w:ascii="Cambria Math" w:hAnsi="Cambria Math"/>
          </w:rPr>
          <m:t>&lt;0,001</m:t>
        </m:r>
      </m:oMath>
      <w:r>
        <w:t xml:space="preserve">. </w:t>
      </w:r>
      <w:r w:rsidR="00AB3EA5">
        <w:t>These results are parallel to some previous studies that found the cognitive activation give positive effect to students’ mathematics achievement or students’ mathematics literacy ability</w:t>
      </w:r>
      <w:r w:rsidR="00070094">
        <w:t xml:space="preserve"> </w:t>
      </w:r>
      <w:r w:rsidR="00070094">
        <w:fldChar w:fldCharType="begin" w:fldLock="1"/>
      </w:r>
      <w:r w:rsidR="0079627B">
        <w:instrText>ADDIN CSL_CITATION {"citationItems":[{"id":"ITEM-1","itemData":{"DOI":"10.3102/0002831209345157","ISSN":"00028312","abstract":"In both the United States and Europe, concerns have been raised about whether preservice and in-service training succeeds in equipping teachers with the professional knowledge they need to deliver consistently high-quality instruction. This article investigates the significance of teachers' content knowledge and pedagogical content knowledge for high-quality instruction and student progress in secondary-level mathematics. It reports findings from a 1-year study conducted in Germany with a representative sample of Grade 10 classes and their mathematics teachers. Teachers' pedagogical content knowledge was theoretically and empirically distinguishable from their content knowledge. Multilevel structural equation models revealed a substantial positive effect of pedagogical content knowledge on students' learning gains that was mediated by the provision of cognitive activation and individual learning support. © 2010 AERA.","author":[{"dropping-particle":"","family":"Baumert","given":"Jürgen","non-dropping-particle":"","parse-names":false,"suffix":""},{"dropping-particle":"","family":"Kunter","given":"Mareike","non-dropping-particle":"","parse-names":false,"suffix":""},{"dropping-particle":"","family":"Blum","given":"Werner","non-dropping-particle":"","parse-names":false,"suffix":""},{"dropping-particle":"","family":"Brunner","given":"Martin","non-dropping-particle":"","parse-names":false,"suffix":""},{"dropping-particle":"","family":"Voss","given":"Thamar","non-dropping-particle":"","parse-names":false,"suffix":""},{"dropping-particle":"","family":"Jordan","given":"Alexander","non-dropping-particle":"","parse-names":false,"suffix":""},{"dropping-particle":"","family":"Klusmann","given":"Uta","non-dropping-particle":"","parse-names":false,"suffix":""},{"dropping-particle":"","family":"Krauss","given":"Stefan","non-dropping-particle":"","parse-names":false,"suffix":""},{"dropping-particle":"","family":"Neubrand","given":"Michael","non-dropping-particle":"","parse-names":false,"suffix":""},{"dropping-particle":"","family":"Tsai","given":"Yi Miau","non-dropping-particle":"","parse-names":false,"suffix":""}],"container-title":"American Educational Research Journal","id":"ITEM-1","issue":"1","issued":{"date-parts":[["2010"]]},"page":"133-180","title":"Teachers' mathematical knowledge, cognitive activation in the classroom, and student progress","type":"article-journal","volume":"47"},"uris":["http://www.mendeley.com/documents/?uuid=9de4a69f-ee7c-4ac3-ae0f-312bef3bdb1a"]}],"mendeley":{"formattedCitation":"[18]","plainTextFormattedCitation":"[18]","previouslyFormattedCitation":"[18]"},"properties":{"noteIndex":0},"schema":"https://github.com/citation-style-language/schema/raw/master/csl-citation.json"}</w:instrText>
      </w:r>
      <w:r w:rsidR="00070094">
        <w:fldChar w:fldCharType="separate"/>
      </w:r>
      <w:r w:rsidR="00070094" w:rsidRPr="00070094">
        <w:rPr>
          <w:noProof/>
        </w:rPr>
        <w:t>[18]</w:t>
      </w:r>
      <w:r w:rsidR="00070094">
        <w:fldChar w:fldCharType="end"/>
      </w:r>
      <w:r w:rsidR="0079627B">
        <w:fldChar w:fldCharType="begin" w:fldLock="1"/>
      </w:r>
      <w:r w:rsidR="0079627B">
        <w:instrText>ADDIN CSL_CITATION {"citationItems":[{"id":"ITEM-1","itemData":{"DOI":"10.1007/s11409-020-09249-1","ISSN":"15561631","abstract":"The purpose of the present study was to (a) determine relationships among teacher contextual variables including support and cognitive activation, student motivational beliefs, engagement, and mathematics literacy and (b) to examine whether different types of motivational and behavioral engagement variables act as viable mediators between the classroom context and student mathematics literacy. Data were extracted from the 2012 PISA, with a sample of N = 4978 students. Using structural equation modeling, the results indicated that students’ perceptions of teacher support had a positive effect on their motivational beliefs, behaviors, and mathematics literacy. In particular, perceived teacher cognitive activation had a positive direct effect and an indirect effect through student self-efficacy beliefs, and persistence on mathematics achievement. In addition, self-efficacy resulted in significant paths on their intention to pursue careers in mathematics and work ethic, but a negative path was found between work ethic and mathematics achievement. Implications for educational practice and future research directions are also discussed.","author":[{"dropping-particle":"","family":"Kitsantas","given":"Anastasia","non-dropping-particle":"","parse-names":false,"suffix":""},{"dropping-particle":"","family":"Cleary","given":"Timothy J.","non-dropping-particle":"","parse-names":false,"suffix":""},{"dropping-particle":"","family":"Whitehead","given":"Aubrey","non-dropping-particle":"","parse-names":false,"suffix":""},{"dropping-particle":"","family":"Cheema","given":"Jehanzeb","non-dropping-particle":"","parse-names":false,"suffix":""}],"container-title":"Metacognition and Learning","id":"ITEM-1","issue":"2","issued":{"date-parts":[["2021"]]},"page":"255-273","title":"Relations among classroom context, student motivation, and mathematics literacy: a social cognitive perspective","type":"article-journal","volume":"16"},"uris":["http://www.mendeley.com/documents/?uuid=a2586b96-65a5-4029-b408-d28df373a63a"]}],"mendeley":{"formattedCitation":"[7]","plainTextFormattedCitation":"[7]","previouslyFormattedCitation":"[7]"},"properties":{"noteIndex":0},"schema":"https://github.com/citation-style-language/schema/raw/master/csl-citation.json"}</w:instrText>
      </w:r>
      <w:r w:rsidR="0079627B">
        <w:fldChar w:fldCharType="separate"/>
      </w:r>
      <w:r w:rsidR="0079627B" w:rsidRPr="0079627B">
        <w:rPr>
          <w:noProof/>
        </w:rPr>
        <w:t>[7]</w:t>
      </w:r>
      <w:r w:rsidR="0079627B">
        <w:fldChar w:fldCharType="end"/>
      </w:r>
      <w:r w:rsidR="0079627B">
        <w:t xml:space="preserve"> </w:t>
      </w:r>
      <w:r w:rsidR="0079627B">
        <w:fldChar w:fldCharType="begin" w:fldLock="1"/>
      </w:r>
      <w:r w:rsidR="00655D46">
        <w:instrText>ADDIN CSL_CITATION {"citationItems":[{"id":"ITEM-1","itemData":{"DOI":"10.1111/bjep.12351","ISSN":"20448279","PMID":"32369197","abstract":"Background: Previous studies have suggested that teachers’ frequent use of cognitive activation strategies in mathematics lessons is positively associated with students’ mathematics achievement. Aims: This study aims to investigate the possible mediating role of mathematics self-efficacy in the association between cognitive activation and achievement in mathematics classrooms. Besides that, we explored the moderating role of students’ socioeconomic status (SES) in the relationships between cognitive activation, mathematics self-efficacy, and mathematics achievement. Samples: This study employed data from a project of the National Assessment Center for Education Quality (NACEQ) in China. A sample with 8707 fourth-grade primary students and 129 mathematics teachers was analysed. Methods: The multi-level analysis was used in this study with students representing the level-1 units and teachers representing the level-2 units. Results: Based on a large-scale standard assessment and survey in China, this study showed that cognitive activation was positively related to mathematics performance overall. Mathematics self-efficacy played a vital mediating role in the association between cognitive activation and mathematics achievement. The indirect relationship between cognitive activation and mathematics achievement via mathematics self-efficacy was moderated by SES both at the student level and the teacher level. Conclusions: Our study suggests the importance of cognitively activating instruction, especially for students with lower SES and classes with lower average SES.","author":[{"dropping-particle":"","family":"Li","given":"Hui","non-dropping-particle":"","parse-names":false,"suffix":""},{"dropping-particle":"","family":"Liu","given":"Jian","non-dropping-particle":"","parse-names":false,"suffix":""},{"dropping-particle":"","family":"Zhang","given":"Dan","non-dropping-particle":"","parse-names":false,"suffix":""},{"dropping-particle":"","family":"Liu","given":"Hongyun","non-dropping-particle":"","parse-names":false,"suffix":""}],"container-title":"British Journal of Educational Psychology","id":"ITEM-1","issue":"1","issued":{"date-parts":[["2021"]]},"page":"101-126","title":"Examining the relationships between cognitive activation, self-efficacy, socioeconomic status, and achievement in mathematics: A multi-level analysis","type":"article-journal","volume":"91"},"uris":["http://www.mendeley.com/documents/?uuid=a7894ea6-6b12-4155-b4d8-329a0e8ea917"]}],"mendeley":{"formattedCitation":"[10]","plainTextFormattedCitation":"[10]","previouslyFormattedCitation":"[10]"},"properties":{"noteIndex":0},"schema":"https://github.com/citation-style-language/schema/raw/master/csl-citation.json"}</w:instrText>
      </w:r>
      <w:r w:rsidR="0079627B">
        <w:fldChar w:fldCharType="separate"/>
      </w:r>
      <w:r w:rsidR="0079627B" w:rsidRPr="0079627B">
        <w:rPr>
          <w:noProof/>
        </w:rPr>
        <w:t>[10]</w:t>
      </w:r>
      <w:r w:rsidR="0079627B">
        <w:fldChar w:fldCharType="end"/>
      </w:r>
      <w:r w:rsidR="00AB3EA5">
        <w:t xml:space="preserve">.  </w:t>
      </w:r>
      <w:r>
        <w:t>The cognitive activation is not significant for employ process in both model, model 1 (</w:t>
      </w:r>
      <m:oMath>
        <m:sSub>
          <m:sSubPr>
            <m:ctrlPr>
              <w:rPr>
                <w:rFonts w:ascii="Cambria Math" w:hAnsi="Cambria Math"/>
              </w:rPr>
            </m:ctrlPr>
          </m:sSubPr>
          <m:e>
            <m:acc>
              <m:accPr>
                <m:ctrlPr>
                  <w:rPr>
                    <w:rFonts w:ascii="Cambria Math" w:hAnsi="Cambria Math"/>
                    <w:i/>
                  </w:rPr>
                </m:ctrlPr>
              </m:accPr>
              <m:e>
                <m:r>
                  <w:rPr>
                    <w:rFonts w:ascii="Cambria Math" w:hAnsi="Cambria Math"/>
                  </w:rPr>
                  <m:t>γ</m:t>
                </m:r>
              </m:e>
            </m:acc>
          </m:e>
          <m:sub>
            <m:r>
              <w:rPr>
                <w:rFonts w:ascii="Cambria Math" w:hAnsi="Cambria Math"/>
              </w:rPr>
              <m:t>20</m:t>
            </m:r>
          </m:sub>
        </m:sSub>
        <m:r>
          <w:rPr>
            <w:rFonts w:ascii="Cambria Math" w:hAnsi="Cambria Math"/>
          </w:rPr>
          <m:t>=</m:t>
        </m:r>
        <m:r>
          <m:rPr>
            <m:sty m:val="p"/>
          </m:rPr>
          <w:rPr>
            <w:rFonts w:ascii="Cambria Math" w:hAnsi="Cambria Math"/>
          </w:rPr>
          <m:t xml:space="preserve">0.29 </m:t>
        </m:r>
        <m:r>
          <w:rPr>
            <w:rFonts w:ascii="Cambria Math" w:hAnsi="Cambria Math"/>
          </w:rPr>
          <m:t xml:space="preserve"> </m:t>
        </m:r>
      </m:oMath>
      <w:r>
        <w:t xml:space="preserve"> and </w:t>
      </w:r>
      <m:oMath>
        <m:r>
          <w:rPr>
            <w:rFonts w:ascii="Cambria Math" w:hAnsi="Cambria Math"/>
          </w:rPr>
          <m:t>ρ</m:t>
        </m:r>
        <m:r>
          <m:rPr>
            <m:sty m:val="p"/>
          </m:rPr>
          <w:rPr>
            <w:rFonts w:ascii="Cambria Math" w:hAnsi="Cambria Math"/>
          </w:rPr>
          <m:t>&gt;0.05</m:t>
        </m:r>
      </m:oMath>
      <w:r>
        <w:t>) model 2 (</w:t>
      </w:r>
      <m:oMath>
        <m:sSub>
          <m:sSubPr>
            <m:ctrlPr>
              <w:rPr>
                <w:rFonts w:ascii="Cambria Math" w:hAnsi="Cambria Math"/>
              </w:rPr>
            </m:ctrlPr>
          </m:sSubPr>
          <m:e>
            <m:acc>
              <m:accPr>
                <m:ctrlPr>
                  <w:rPr>
                    <w:rFonts w:ascii="Cambria Math" w:hAnsi="Cambria Math"/>
                    <w:i/>
                  </w:rPr>
                </m:ctrlPr>
              </m:accPr>
              <m:e>
                <m:r>
                  <w:rPr>
                    <w:rFonts w:ascii="Cambria Math" w:hAnsi="Cambria Math"/>
                  </w:rPr>
                  <m:t>γ</m:t>
                </m:r>
              </m:e>
            </m:acc>
          </m:e>
          <m:sub>
            <m:r>
              <w:rPr>
                <w:rFonts w:ascii="Cambria Math" w:hAnsi="Cambria Math"/>
              </w:rPr>
              <m:t>20</m:t>
            </m:r>
          </m:sub>
        </m:sSub>
        <m:r>
          <w:rPr>
            <w:rFonts w:ascii="Cambria Math" w:hAnsi="Cambria Math"/>
          </w:rPr>
          <m:t>=</m:t>
        </m:r>
        <m:r>
          <m:rPr>
            <m:sty m:val="p"/>
          </m:rPr>
          <w:rPr>
            <w:rFonts w:ascii="Cambria Math" w:hAnsi="Cambria Math"/>
          </w:rPr>
          <m:t xml:space="preserve">0.29 </m:t>
        </m:r>
        <m:r>
          <w:rPr>
            <w:rFonts w:ascii="Cambria Math" w:hAnsi="Cambria Math"/>
          </w:rPr>
          <m:t xml:space="preserve"> </m:t>
        </m:r>
      </m:oMath>
      <w:r>
        <w:t xml:space="preserve"> and </w:t>
      </w:r>
      <m:oMath>
        <m:r>
          <w:rPr>
            <w:rFonts w:ascii="Cambria Math" w:hAnsi="Cambria Math"/>
          </w:rPr>
          <m:t>ρ</m:t>
        </m:r>
        <m:r>
          <m:rPr>
            <m:sty m:val="p"/>
          </m:rPr>
          <w:rPr>
            <w:rFonts w:ascii="Cambria Math" w:hAnsi="Cambria Math"/>
          </w:rPr>
          <m:t>&gt;0.05</m:t>
        </m:r>
      </m:oMath>
      <w:r>
        <w:t>). The employ s</w:t>
      </w:r>
      <w:r w:rsidRPr="001A7555">
        <w:t xml:space="preserve">cale indicate how well students can perform computations and apply the concepts and facts they know to </w:t>
      </w:r>
      <w:r>
        <w:t>solve</w:t>
      </w:r>
      <w:r w:rsidRPr="001A7555">
        <w:t xml:space="preserve"> a problem </w:t>
      </w:r>
      <w:r>
        <w:t xml:space="preserve">they already </w:t>
      </w:r>
      <w:r w:rsidRPr="001A7555">
        <w:t>formulated mathematically</w:t>
      </w:r>
      <w:r>
        <w:t xml:space="preserve"> in the formulate process. </w:t>
      </w:r>
      <w:r w:rsidR="00406C5E">
        <w:t xml:space="preserve">Although the employ process is the application of mathematics knowledge, the formulate process can have higher difficulties </w:t>
      </w:r>
      <w:r w:rsidR="00406C5E">
        <w:fldChar w:fldCharType="begin" w:fldLock="1"/>
      </w:r>
      <w:r w:rsidR="00070094">
        <w:instrText>ADDIN CSL_CITATION {"citationItems":[{"id":"ITEM-1","itemData":{"DOI":"10.1177/00049441211031674","ISSN":"20505884","abstract":"Recent studies reiterate the importance of mathematical literacy and the identification of skills, knowledge and cognitive processes which contribute to composite test scores to facilitate targeted remediation and extension activities. To this end, the current article examines data from the 2012 cycle of the Programme for International Student Assessment (PISA), using multilevel modelling techniques to explore the relationship between selected student-level and teacher/school-level factors and the three processes of interpret, employ and formulate which were measured as the skills underlying mathematical literacy in that assessment. Results of the analyses indicate that boys outperform girls significantly (p &lt; 0.001) in all three processes whereby formulate invokes relatively more inter- and intra-level influences compared with interpret. Apart from the relatively higher item-difficulties of formulate, an increase in the complexity of contextual effects at the student and the teacher/school-level emerges as mathematical processes move from interpret to employ to formulate. Findings also reveal that students taught by teachers who had mathematics as a major in their undergraduate studies and who work in relatively smaller classes or groups show higher performance in all three mathematical literacy processes. Use of ICT in mathematics lessons is negatively associated with the three mathematical literacy processes. The additional negative effect of mathematical extracurricular activities at school on the processes highlights the need to rethink how technology and extracurricular lessons are to be used, designed/structured and delivered to optimise the learning of mathematical processes, and ultimately improve mathematical literacy.","author":[{"dropping-particle":"","family":"Alagumalai","given":"Sivakumar","non-dropping-particle":"","parse-names":false,"suffix":""},{"dropping-particle":"","family":"Buchdahl","given":"Nicholas","non-dropping-particle":"","parse-names":false,"suffix":""}],"container-title":"Australian Journal of Education","id":"ITEM-1","issue":"2","issued":{"date-parts":[["2021"]]},"page":"173-194","title":"PISA 2012: Examining the influence of prior knowledge, time-on-task, school-level effects on achievements in mathematical literacy processes – Interpret, employ and formulate","type":"article-journal","volume":"65"},"uris":["http://www.mendeley.com/documents/?uuid=5620b8fa-6f9f-4425-ae7f-0173256d769c"]}],"mendeley":{"formattedCitation":"[17]","plainTextFormattedCitation":"[17]","previouslyFormattedCitation":"[17]"},"properties":{"noteIndex":0},"schema":"https://github.com/citation-style-language/schema/raw/master/csl-citation.json"}</w:instrText>
      </w:r>
      <w:r w:rsidR="00406C5E">
        <w:fldChar w:fldCharType="separate"/>
      </w:r>
      <w:r w:rsidR="00406C5E" w:rsidRPr="00406C5E">
        <w:rPr>
          <w:noProof/>
        </w:rPr>
        <w:t>[17]</w:t>
      </w:r>
      <w:r w:rsidR="00406C5E">
        <w:fldChar w:fldCharType="end"/>
      </w:r>
      <w:r w:rsidR="00406C5E">
        <w:t xml:space="preserve">. </w:t>
      </w:r>
      <w:r w:rsidR="001B6C93">
        <w:t>As mentioned in the introduction part, that cognitive activation is teacher activities that</w:t>
      </w:r>
      <w:r w:rsidR="001B6C93" w:rsidRPr="003D1800">
        <w:t xml:space="preserve"> providing instructional content that stimulates deep thinking and conceptual understanding</w:t>
      </w:r>
      <w:r w:rsidR="001B6C93">
        <w:t xml:space="preserve">. Because the formulate process has higher difficulty than employ process, it more likely the cognitive activation will have direct impact to formulate process rather than employ process. Moreover, the future study is needed to find the factors that caused non-significant effect of cognitive activation on employ process.  </w:t>
      </w:r>
    </w:p>
    <w:p w14:paraId="3CB631A0" w14:textId="35FD9921" w:rsidR="001A7555" w:rsidRDefault="001A7555" w:rsidP="001A7555">
      <w:pPr>
        <w:pStyle w:val="Paragraph"/>
      </w:pPr>
    </w:p>
    <w:p w14:paraId="50F52C3C" w14:textId="77777777" w:rsidR="00AA27D0" w:rsidRDefault="00AA27D0" w:rsidP="001B6C93">
      <w:pPr>
        <w:pStyle w:val="Paragraph"/>
        <w:ind w:firstLine="0"/>
        <w:rPr>
          <w:b/>
          <w:bCs/>
        </w:rPr>
      </w:pPr>
    </w:p>
    <w:p w14:paraId="253BBA94" w14:textId="15DB4A8F" w:rsidR="00AA27D0" w:rsidRPr="00704B0E" w:rsidRDefault="00AA27D0" w:rsidP="00AA27D0">
      <w:pPr>
        <w:pStyle w:val="Paragraph"/>
        <w:jc w:val="center"/>
        <w:rPr>
          <w:iCs/>
        </w:rPr>
      </w:pPr>
      <w:r w:rsidRPr="00545BF9">
        <w:rPr>
          <w:b/>
          <w:bCs/>
        </w:rPr>
        <w:lastRenderedPageBreak/>
        <w:t>TABLE</w:t>
      </w:r>
      <w:r w:rsidRPr="00963E65">
        <w:rPr>
          <w:b/>
          <w:bCs/>
          <w:lang w:val="id-ID"/>
        </w:rPr>
        <w:t xml:space="preserve"> </w:t>
      </w:r>
      <w:r>
        <w:rPr>
          <w:b/>
          <w:bCs/>
        </w:rPr>
        <w:t>7</w:t>
      </w:r>
      <w:r w:rsidRPr="00963E65">
        <w:rPr>
          <w:b/>
          <w:bCs/>
          <w:lang w:val="id-ID"/>
        </w:rPr>
        <w:t>.</w:t>
      </w:r>
      <w:r w:rsidRPr="00963E65">
        <w:rPr>
          <w:lang w:val="id-ID"/>
        </w:rPr>
        <w:t xml:space="preserve"> </w:t>
      </w:r>
      <w:r>
        <w:rPr>
          <w:iCs/>
        </w:rPr>
        <w:t xml:space="preserve">Model Summaries of All Multilevel Models in This Study. Null Model, Model 1: Level-1 and Level-2 Predictors Fixed, Model 2 </w:t>
      </w:r>
      <w:r w:rsidRPr="00197B7C">
        <w:rPr>
          <w:rFonts w:ascii="Calibri" w:hAnsi="Calibri" w:cs="Calibri"/>
          <w:iCs/>
        </w:rPr>
        <w:t>﻿</w:t>
      </w:r>
      <w:r w:rsidRPr="00197B7C">
        <w:rPr>
          <w:iCs/>
        </w:rPr>
        <w:t xml:space="preserve">with </w:t>
      </w:r>
      <w:r>
        <w:rPr>
          <w:iCs/>
        </w:rPr>
        <w:t>F</w:t>
      </w:r>
      <w:r w:rsidRPr="00197B7C">
        <w:rPr>
          <w:iCs/>
        </w:rPr>
        <w:t xml:space="preserve">ixed </w:t>
      </w:r>
      <w:r>
        <w:rPr>
          <w:iCs/>
        </w:rPr>
        <w:t>L</w:t>
      </w:r>
      <w:r w:rsidRPr="00197B7C">
        <w:rPr>
          <w:iCs/>
        </w:rPr>
        <w:t xml:space="preserve">evel-1 and 2 </w:t>
      </w:r>
      <w:r>
        <w:rPr>
          <w:iCs/>
        </w:rPr>
        <w:t>P</w:t>
      </w:r>
      <w:r w:rsidRPr="00197B7C">
        <w:rPr>
          <w:iCs/>
        </w:rPr>
        <w:t xml:space="preserve">redictors and </w:t>
      </w:r>
      <w:r>
        <w:rPr>
          <w:iCs/>
        </w:rPr>
        <w:t>R</w:t>
      </w:r>
      <w:r w:rsidRPr="00197B7C">
        <w:rPr>
          <w:iCs/>
        </w:rPr>
        <w:t xml:space="preserve">andom </w:t>
      </w:r>
      <w:r>
        <w:rPr>
          <w:iCs/>
        </w:rPr>
        <w:t>L</w:t>
      </w:r>
      <w:r w:rsidRPr="00197B7C">
        <w:rPr>
          <w:iCs/>
        </w:rPr>
        <w:t xml:space="preserve">evel-2 </w:t>
      </w:r>
      <w:r>
        <w:rPr>
          <w:iCs/>
        </w:rPr>
        <w:t>P</w:t>
      </w:r>
      <w:r w:rsidRPr="00197B7C">
        <w:rPr>
          <w:iCs/>
        </w:rPr>
        <w:t>redictor</w:t>
      </w:r>
      <w:r>
        <w:rPr>
          <w:iCs/>
        </w:rPr>
        <w:t xml:space="preserve"> for the Aspect of </w:t>
      </w:r>
      <w:r w:rsidR="006225AF">
        <w:rPr>
          <w:iCs/>
        </w:rPr>
        <w:t>Interpret</w:t>
      </w:r>
      <w:r>
        <w:rPr>
          <w:iCs/>
        </w:rPr>
        <w:t xml:space="preserve">. </w:t>
      </w: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2410"/>
        <w:gridCol w:w="1918"/>
        <w:gridCol w:w="1984"/>
        <w:gridCol w:w="2472"/>
      </w:tblGrid>
      <w:tr w:rsidR="00AA27D0" w:rsidRPr="00704B0E" w14:paraId="527D0977" w14:textId="77777777" w:rsidTr="00D123CB">
        <w:trPr>
          <w:trHeight w:val="58"/>
          <w:jc w:val="center"/>
        </w:trPr>
        <w:tc>
          <w:tcPr>
            <w:tcW w:w="2410" w:type="dxa"/>
            <w:tcBorders>
              <w:top w:val="single" w:sz="4" w:space="0" w:color="auto"/>
              <w:bottom w:val="single" w:sz="4" w:space="0" w:color="auto"/>
            </w:tcBorders>
            <w:shd w:val="clear" w:color="auto" w:fill="auto"/>
            <w:vAlign w:val="center"/>
          </w:tcPr>
          <w:p w14:paraId="3BCEC157" w14:textId="77777777" w:rsidR="00AA27D0" w:rsidRPr="00704B0E" w:rsidRDefault="00AA27D0" w:rsidP="00D123CB">
            <w:pPr>
              <w:pStyle w:val="Paragraph"/>
              <w:ind w:firstLine="0"/>
              <w:rPr>
                <w:b/>
                <w:bCs/>
                <w:sz w:val="18"/>
                <w:szCs w:val="18"/>
              </w:rPr>
            </w:pPr>
            <w:r w:rsidRPr="00704B0E">
              <w:rPr>
                <w:b/>
                <w:bCs/>
                <w:sz w:val="18"/>
                <w:szCs w:val="18"/>
              </w:rPr>
              <w:t>Parameter</w:t>
            </w:r>
          </w:p>
        </w:tc>
        <w:tc>
          <w:tcPr>
            <w:tcW w:w="1918" w:type="dxa"/>
            <w:tcBorders>
              <w:top w:val="single" w:sz="4" w:space="0" w:color="auto"/>
              <w:bottom w:val="single" w:sz="4" w:space="0" w:color="auto"/>
            </w:tcBorders>
            <w:shd w:val="clear" w:color="auto" w:fill="auto"/>
            <w:vAlign w:val="center"/>
          </w:tcPr>
          <w:p w14:paraId="05DC0B2A" w14:textId="77777777" w:rsidR="00AA27D0" w:rsidRPr="00704B0E" w:rsidRDefault="00AA27D0" w:rsidP="00D123CB">
            <w:pPr>
              <w:pStyle w:val="Paragraph"/>
              <w:ind w:firstLine="25"/>
              <w:rPr>
                <w:b/>
                <w:bCs/>
                <w:sz w:val="18"/>
                <w:szCs w:val="18"/>
              </w:rPr>
            </w:pPr>
            <w:r w:rsidRPr="00704B0E">
              <w:rPr>
                <w:b/>
                <w:bCs/>
                <w:sz w:val="18"/>
                <w:szCs w:val="18"/>
              </w:rPr>
              <w:t>Null Model</w:t>
            </w:r>
          </w:p>
        </w:tc>
        <w:tc>
          <w:tcPr>
            <w:tcW w:w="1984" w:type="dxa"/>
            <w:tcBorders>
              <w:top w:val="single" w:sz="4" w:space="0" w:color="auto"/>
              <w:bottom w:val="single" w:sz="4" w:space="0" w:color="auto"/>
            </w:tcBorders>
            <w:shd w:val="clear" w:color="auto" w:fill="auto"/>
            <w:vAlign w:val="center"/>
          </w:tcPr>
          <w:p w14:paraId="65A4F497" w14:textId="77777777" w:rsidR="00AA27D0" w:rsidRPr="00704B0E" w:rsidRDefault="00AA27D0" w:rsidP="00D123CB">
            <w:pPr>
              <w:pStyle w:val="Paragraph"/>
              <w:ind w:firstLine="25"/>
              <w:rPr>
                <w:b/>
                <w:bCs/>
                <w:sz w:val="18"/>
                <w:szCs w:val="18"/>
              </w:rPr>
            </w:pPr>
            <w:r w:rsidRPr="00704B0E">
              <w:rPr>
                <w:b/>
                <w:bCs/>
                <w:sz w:val="18"/>
                <w:szCs w:val="18"/>
              </w:rPr>
              <w:t xml:space="preserve">Model 1 </w:t>
            </w:r>
          </w:p>
          <w:p w14:paraId="044836C0" w14:textId="77777777" w:rsidR="00AA27D0" w:rsidRPr="00704B0E" w:rsidRDefault="00AA27D0" w:rsidP="00D123CB">
            <w:pPr>
              <w:pStyle w:val="Paragraph"/>
              <w:ind w:firstLine="25"/>
              <w:rPr>
                <w:b/>
                <w:bCs/>
                <w:sz w:val="18"/>
                <w:szCs w:val="18"/>
              </w:rPr>
            </w:pPr>
            <w:r w:rsidRPr="00704B0E">
              <w:rPr>
                <w:b/>
                <w:bCs/>
                <w:sz w:val="18"/>
                <w:szCs w:val="18"/>
              </w:rPr>
              <w:t>level-1 &amp; level-2: fixed</w:t>
            </w:r>
          </w:p>
        </w:tc>
        <w:tc>
          <w:tcPr>
            <w:tcW w:w="2472" w:type="dxa"/>
            <w:tcBorders>
              <w:top w:val="single" w:sz="4" w:space="0" w:color="auto"/>
              <w:bottom w:val="single" w:sz="4" w:space="0" w:color="auto"/>
            </w:tcBorders>
            <w:shd w:val="clear" w:color="auto" w:fill="auto"/>
            <w:vAlign w:val="center"/>
          </w:tcPr>
          <w:p w14:paraId="61691AD2" w14:textId="77777777" w:rsidR="00AA27D0" w:rsidRPr="00704B0E" w:rsidRDefault="00AA27D0" w:rsidP="00D123CB">
            <w:pPr>
              <w:pStyle w:val="Paragraph"/>
              <w:ind w:firstLine="25"/>
              <w:rPr>
                <w:b/>
                <w:bCs/>
                <w:sz w:val="18"/>
                <w:szCs w:val="18"/>
              </w:rPr>
            </w:pPr>
            <w:r w:rsidRPr="00704B0E">
              <w:rPr>
                <w:b/>
                <w:bCs/>
                <w:sz w:val="18"/>
                <w:szCs w:val="18"/>
              </w:rPr>
              <w:t>Model 2</w:t>
            </w:r>
          </w:p>
          <w:p w14:paraId="1836D78A" w14:textId="77777777" w:rsidR="00AA27D0" w:rsidRPr="00704B0E" w:rsidRDefault="00AA27D0" w:rsidP="00D123CB">
            <w:pPr>
              <w:pStyle w:val="Paragraph"/>
              <w:ind w:firstLine="25"/>
              <w:rPr>
                <w:b/>
                <w:bCs/>
                <w:sz w:val="18"/>
                <w:szCs w:val="18"/>
              </w:rPr>
            </w:pPr>
            <w:r w:rsidRPr="00704B0E">
              <w:rPr>
                <w:b/>
                <w:bCs/>
                <w:sz w:val="18"/>
                <w:szCs w:val="18"/>
              </w:rPr>
              <w:t>Level-1 &amp; level-2:</w:t>
            </w:r>
            <w:r>
              <w:rPr>
                <w:b/>
                <w:bCs/>
                <w:sz w:val="18"/>
                <w:szCs w:val="18"/>
              </w:rPr>
              <w:t xml:space="preserve"> fixed</w:t>
            </w:r>
          </w:p>
          <w:p w14:paraId="0AF7762B" w14:textId="77777777" w:rsidR="00AA27D0" w:rsidRPr="00704B0E" w:rsidRDefault="00AA27D0" w:rsidP="00D123CB">
            <w:pPr>
              <w:pStyle w:val="Paragraph"/>
              <w:ind w:firstLine="25"/>
              <w:rPr>
                <w:b/>
                <w:bCs/>
                <w:sz w:val="18"/>
                <w:szCs w:val="18"/>
              </w:rPr>
            </w:pPr>
            <w:r w:rsidRPr="00704B0E">
              <w:rPr>
                <w:b/>
                <w:bCs/>
                <w:sz w:val="18"/>
                <w:szCs w:val="18"/>
              </w:rPr>
              <w:t>Level -2 random</w:t>
            </w:r>
          </w:p>
        </w:tc>
      </w:tr>
      <w:tr w:rsidR="00AA27D0" w:rsidRPr="00704B0E" w14:paraId="07506633" w14:textId="77777777" w:rsidTr="00D123CB">
        <w:trPr>
          <w:trHeight w:val="68"/>
          <w:jc w:val="center"/>
        </w:trPr>
        <w:tc>
          <w:tcPr>
            <w:tcW w:w="2410" w:type="dxa"/>
            <w:tcBorders>
              <w:top w:val="single" w:sz="4" w:space="0" w:color="auto"/>
            </w:tcBorders>
          </w:tcPr>
          <w:p w14:paraId="21E0FCC3" w14:textId="77777777" w:rsidR="00AA27D0" w:rsidRPr="00704B0E" w:rsidRDefault="00AA27D0" w:rsidP="00D123CB">
            <w:pPr>
              <w:pStyle w:val="Paragraph"/>
              <w:ind w:firstLine="0"/>
              <w:rPr>
                <w:i/>
                <w:iCs/>
              </w:rPr>
            </w:pPr>
            <w:r w:rsidRPr="00704B0E">
              <w:rPr>
                <w:i/>
                <w:iCs/>
              </w:rPr>
              <w:t xml:space="preserve">Fixed effects </w:t>
            </w:r>
          </w:p>
        </w:tc>
        <w:tc>
          <w:tcPr>
            <w:tcW w:w="1918" w:type="dxa"/>
            <w:tcBorders>
              <w:top w:val="single" w:sz="4" w:space="0" w:color="auto"/>
            </w:tcBorders>
          </w:tcPr>
          <w:p w14:paraId="4F4D9935" w14:textId="77777777" w:rsidR="00AA27D0" w:rsidRPr="00704B0E" w:rsidRDefault="00AA27D0" w:rsidP="00D123CB">
            <w:pPr>
              <w:pStyle w:val="Paragraph"/>
              <w:ind w:firstLine="25"/>
            </w:pPr>
          </w:p>
        </w:tc>
        <w:tc>
          <w:tcPr>
            <w:tcW w:w="1984" w:type="dxa"/>
            <w:tcBorders>
              <w:top w:val="single" w:sz="4" w:space="0" w:color="auto"/>
            </w:tcBorders>
          </w:tcPr>
          <w:p w14:paraId="6EFB7452" w14:textId="77777777" w:rsidR="00AA27D0" w:rsidRPr="00704B0E" w:rsidRDefault="00AA27D0" w:rsidP="00D123CB">
            <w:pPr>
              <w:pStyle w:val="Paragraph"/>
              <w:ind w:firstLine="25"/>
            </w:pPr>
          </w:p>
        </w:tc>
        <w:tc>
          <w:tcPr>
            <w:tcW w:w="2472" w:type="dxa"/>
            <w:tcBorders>
              <w:top w:val="single" w:sz="4" w:space="0" w:color="auto"/>
            </w:tcBorders>
          </w:tcPr>
          <w:p w14:paraId="3FAA6779" w14:textId="77777777" w:rsidR="00AA27D0" w:rsidRPr="00704B0E" w:rsidRDefault="00AA27D0" w:rsidP="00D123CB">
            <w:pPr>
              <w:pStyle w:val="Paragraph"/>
              <w:ind w:firstLine="25"/>
            </w:pPr>
          </w:p>
        </w:tc>
      </w:tr>
      <w:tr w:rsidR="00AB086A" w:rsidRPr="00704B0E" w14:paraId="15BED8B1" w14:textId="77777777" w:rsidTr="00D123CB">
        <w:trPr>
          <w:trHeight w:val="68"/>
          <w:jc w:val="center"/>
        </w:trPr>
        <w:tc>
          <w:tcPr>
            <w:tcW w:w="2410" w:type="dxa"/>
          </w:tcPr>
          <w:p w14:paraId="326D72D1" w14:textId="5B204927" w:rsidR="00AB086A" w:rsidRPr="00704B0E" w:rsidRDefault="00AB086A" w:rsidP="00AB086A">
            <w:pPr>
              <w:pStyle w:val="Paragraph"/>
              <w:ind w:firstLine="0"/>
              <w:rPr>
                <w:i/>
                <w:iCs/>
              </w:rPr>
            </w:pPr>
            <w:r w:rsidRPr="00704B0E">
              <w:rPr>
                <w:i/>
                <w:iCs/>
              </w:rPr>
              <w:t xml:space="preserve">Intercept </w:t>
            </w:r>
            <m:oMath>
              <m:d>
                <m:dPr>
                  <m:ctrlPr>
                    <w:rPr>
                      <w:rFonts w:ascii="Cambria Math" w:hAnsi="Cambria Math"/>
                      <w:i/>
                      <w:iCs/>
                    </w:rPr>
                  </m:ctrlPr>
                </m:dPr>
                <m:e>
                  <m:sSub>
                    <m:sSubPr>
                      <m:ctrlPr>
                        <w:rPr>
                          <w:rFonts w:ascii="Cambria Math" w:hAnsi="Cambria Math"/>
                          <w:i/>
                          <w:iCs/>
                        </w:rPr>
                      </m:ctrlPr>
                    </m:sSubPr>
                    <m:e>
                      <m:r>
                        <w:rPr>
                          <w:rFonts w:ascii="Cambria Math" w:hAnsi="Cambria Math"/>
                        </w:rPr>
                        <m:t>γ</m:t>
                      </m:r>
                    </m:e>
                    <m:sub>
                      <m:r>
                        <w:rPr>
                          <w:rFonts w:ascii="Cambria Math" w:hAnsi="Cambria Math"/>
                        </w:rPr>
                        <m:t>00</m:t>
                      </m:r>
                    </m:sub>
                  </m:sSub>
                </m:e>
              </m:d>
            </m:oMath>
          </w:p>
        </w:tc>
        <w:tc>
          <w:tcPr>
            <w:tcW w:w="1918" w:type="dxa"/>
          </w:tcPr>
          <w:p w14:paraId="2BDA8FEC" w14:textId="53E2028D" w:rsidR="00AB086A" w:rsidRPr="00704B0E" w:rsidRDefault="00AB086A" w:rsidP="00AB086A">
            <w:pPr>
              <w:pStyle w:val="Paragraph"/>
              <w:ind w:firstLine="25"/>
            </w:pPr>
            <w:r w:rsidRPr="000A1B72">
              <w:t xml:space="preserve">377.25 (3.46) </w:t>
            </w:r>
          </w:p>
        </w:tc>
        <w:tc>
          <w:tcPr>
            <w:tcW w:w="1984" w:type="dxa"/>
          </w:tcPr>
          <w:p w14:paraId="7AD01BF6" w14:textId="36AE22F6" w:rsidR="00AB086A" w:rsidRPr="00704B0E" w:rsidRDefault="00AB086A" w:rsidP="00AB086A">
            <w:pPr>
              <w:pStyle w:val="Paragraph"/>
              <w:ind w:firstLine="25"/>
            </w:pPr>
            <w:r w:rsidRPr="000A1B72">
              <w:t>335.06 (</w:t>
            </w:r>
            <w:proofErr w:type="gramStart"/>
            <w:r w:rsidRPr="000A1B72">
              <w:t>7.68)*</w:t>
            </w:r>
            <w:proofErr w:type="gramEnd"/>
            <w:r w:rsidRPr="000A1B72">
              <w:t>**</w:t>
            </w:r>
          </w:p>
        </w:tc>
        <w:tc>
          <w:tcPr>
            <w:tcW w:w="2472" w:type="dxa"/>
          </w:tcPr>
          <w:p w14:paraId="1CCD944C" w14:textId="3757E47D" w:rsidR="00AB086A" w:rsidRPr="00704B0E" w:rsidRDefault="00AB086A" w:rsidP="00AB086A">
            <w:pPr>
              <w:pStyle w:val="Paragraph"/>
              <w:ind w:firstLine="25"/>
            </w:pPr>
            <w:r w:rsidRPr="000A1B72">
              <w:t>335.08 (7.82)</w:t>
            </w:r>
          </w:p>
        </w:tc>
      </w:tr>
      <w:tr w:rsidR="00AB086A" w:rsidRPr="00704B0E" w14:paraId="1A1C935E" w14:textId="77777777" w:rsidTr="00D123CB">
        <w:trPr>
          <w:trHeight w:val="68"/>
          <w:jc w:val="center"/>
        </w:trPr>
        <w:tc>
          <w:tcPr>
            <w:tcW w:w="2410" w:type="dxa"/>
          </w:tcPr>
          <w:p w14:paraId="558BB0CD" w14:textId="1187ADA2" w:rsidR="00AB086A" w:rsidRPr="00704B0E" w:rsidRDefault="00AB086A" w:rsidP="00AB086A">
            <w:pPr>
              <w:pStyle w:val="Paragraph"/>
              <w:ind w:firstLine="0"/>
            </w:pPr>
            <w:r w:rsidRPr="00704B0E">
              <w:t>Teacher support</w:t>
            </w:r>
            <w:r>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10</m:t>
                      </m:r>
                    </m:sub>
                  </m:sSub>
                </m:e>
              </m:d>
            </m:oMath>
          </w:p>
        </w:tc>
        <w:tc>
          <w:tcPr>
            <w:tcW w:w="1918" w:type="dxa"/>
          </w:tcPr>
          <w:p w14:paraId="6B0A92A5" w14:textId="19682966" w:rsidR="00AB086A" w:rsidRPr="00704B0E" w:rsidRDefault="00AB086A" w:rsidP="00AB086A">
            <w:pPr>
              <w:pStyle w:val="Paragraph"/>
              <w:ind w:firstLine="25"/>
            </w:pPr>
            <w:r w:rsidRPr="000A1B72">
              <w:t>-</w:t>
            </w:r>
          </w:p>
        </w:tc>
        <w:tc>
          <w:tcPr>
            <w:tcW w:w="1984" w:type="dxa"/>
          </w:tcPr>
          <w:p w14:paraId="0FA8AC8B" w14:textId="0D1140F3" w:rsidR="00AB086A" w:rsidRPr="00704B0E" w:rsidRDefault="00AB086A" w:rsidP="00AB086A">
            <w:pPr>
              <w:pStyle w:val="Paragraph"/>
              <w:ind w:firstLine="25"/>
            </w:pPr>
            <w:proofErr w:type="gramStart"/>
            <w:r w:rsidRPr="000A1B72">
              <w:t>2.23  (</w:t>
            </w:r>
            <w:proofErr w:type="gramEnd"/>
            <w:r w:rsidRPr="000A1B72">
              <w:t>0.44)***</w:t>
            </w:r>
          </w:p>
        </w:tc>
        <w:tc>
          <w:tcPr>
            <w:tcW w:w="2472" w:type="dxa"/>
          </w:tcPr>
          <w:p w14:paraId="54F019DA" w14:textId="07848AFC" w:rsidR="00AB086A" w:rsidRPr="00704B0E" w:rsidRDefault="00AB086A" w:rsidP="00AB086A">
            <w:pPr>
              <w:pStyle w:val="Paragraph"/>
              <w:ind w:firstLine="25"/>
            </w:pPr>
            <w:r w:rsidRPr="000A1B72">
              <w:t xml:space="preserve"> 2.23 (0.44)</w:t>
            </w:r>
          </w:p>
        </w:tc>
      </w:tr>
      <w:tr w:rsidR="00AB086A" w:rsidRPr="00704B0E" w14:paraId="5A85E8D0" w14:textId="77777777" w:rsidTr="00D123CB">
        <w:trPr>
          <w:trHeight w:val="68"/>
          <w:jc w:val="center"/>
        </w:trPr>
        <w:tc>
          <w:tcPr>
            <w:tcW w:w="2410" w:type="dxa"/>
          </w:tcPr>
          <w:p w14:paraId="554E4873" w14:textId="771D6C97" w:rsidR="00AB086A" w:rsidRPr="00704B0E" w:rsidRDefault="00AB086A" w:rsidP="00AB086A">
            <w:pPr>
              <w:pStyle w:val="Paragraph"/>
              <w:ind w:firstLine="0"/>
            </w:pPr>
            <w:r w:rsidRPr="00704B0E">
              <w:t>Cognitive activation</w:t>
            </w:r>
            <w:r>
              <w:t xml:space="preserve"> </w:t>
            </w:r>
            <m:oMath>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20</m:t>
                      </m:r>
                    </m:sub>
                  </m:sSub>
                </m:e>
              </m:d>
            </m:oMath>
          </w:p>
        </w:tc>
        <w:tc>
          <w:tcPr>
            <w:tcW w:w="1918" w:type="dxa"/>
          </w:tcPr>
          <w:p w14:paraId="373E52AC" w14:textId="306133F7" w:rsidR="00AB086A" w:rsidRPr="00704B0E" w:rsidRDefault="00AB086A" w:rsidP="00AB086A">
            <w:pPr>
              <w:pStyle w:val="Paragraph"/>
              <w:ind w:firstLine="25"/>
            </w:pPr>
            <w:r w:rsidRPr="000A1B72">
              <w:t>-</w:t>
            </w:r>
          </w:p>
        </w:tc>
        <w:tc>
          <w:tcPr>
            <w:tcW w:w="1984" w:type="dxa"/>
          </w:tcPr>
          <w:p w14:paraId="6CF663BA" w14:textId="2E6DC492" w:rsidR="00AB086A" w:rsidRPr="00704B0E" w:rsidRDefault="00AB086A" w:rsidP="00AB086A">
            <w:pPr>
              <w:pStyle w:val="Paragraph"/>
              <w:ind w:firstLine="25"/>
            </w:pPr>
            <w:r w:rsidRPr="000A1B72">
              <w:t>0.65 (</w:t>
            </w:r>
            <w:proofErr w:type="gramStart"/>
            <w:r w:rsidRPr="000A1B72">
              <w:t>0.17)*</w:t>
            </w:r>
            <w:proofErr w:type="gramEnd"/>
            <w:r w:rsidRPr="000A1B72">
              <w:t>**</w:t>
            </w:r>
          </w:p>
        </w:tc>
        <w:tc>
          <w:tcPr>
            <w:tcW w:w="2472" w:type="dxa"/>
          </w:tcPr>
          <w:p w14:paraId="435CCF34" w14:textId="551AA423" w:rsidR="00AB086A" w:rsidRPr="00704B0E" w:rsidRDefault="00AB086A" w:rsidP="00AB086A">
            <w:pPr>
              <w:pStyle w:val="Paragraph"/>
              <w:ind w:firstLine="25"/>
            </w:pPr>
            <w:proofErr w:type="gramStart"/>
            <w:r w:rsidRPr="000A1B72">
              <w:t>0.65  (</w:t>
            </w:r>
            <w:proofErr w:type="gramEnd"/>
            <w:r w:rsidRPr="000A1B72">
              <w:t>0.17)</w:t>
            </w:r>
          </w:p>
        </w:tc>
      </w:tr>
      <w:tr w:rsidR="00AA27D0" w:rsidRPr="00704B0E" w14:paraId="0CDF97CC" w14:textId="77777777" w:rsidTr="00D123CB">
        <w:trPr>
          <w:trHeight w:val="68"/>
          <w:jc w:val="center"/>
        </w:trPr>
        <w:tc>
          <w:tcPr>
            <w:tcW w:w="2410" w:type="dxa"/>
          </w:tcPr>
          <w:p w14:paraId="5E41551E" w14:textId="77777777" w:rsidR="00AA27D0" w:rsidRPr="00704B0E" w:rsidRDefault="00AA27D0" w:rsidP="00AA27D0">
            <w:pPr>
              <w:pStyle w:val="Paragraph"/>
              <w:ind w:firstLine="0"/>
            </w:pPr>
            <w:r w:rsidRPr="00704B0E">
              <w:t>School type</w:t>
            </w:r>
          </w:p>
        </w:tc>
        <w:tc>
          <w:tcPr>
            <w:tcW w:w="1918" w:type="dxa"/>
          </w:tcPr>
          <w:p w14:paraId="0B6B4CC6" w14:textId="7C1DB468" w:rsidR="00AA27D0" w:rsidRPr="00704B0E" w:rsidRDefault="00AA27D0" w:rsidP="00AA27D0">
            <w:pPr>
              <w:pStyle w:val="Paragraph"/>
              <w:ind w:firstLine="25"/>
            </w:pPr>
            <w:r w:rsidRPr="000A1B72">
              <w:t>-</w:t>
            </w:r>
          </w:p>
        </w:tc>
        <w:tc>
          <w:tcPr>
            <w:tcW w:w="1984" w:type="dxa"/>
          </w:tcPr>
          <w:p w14:paraId="2E6CF87C" w14:textId="5E341DF3" w:rsidR="00AA27D0" w:rsidRPr="00704B0E" w:rsidRDefault="00AA27D0" w:rsidP="00AA27D0">
            <w:pPr>
              <w:pStyle w:val="Paragraph"/>
              <w:ind w:firstLine="25"/>
            </w:pPr>
            <w:r w:rsidRPr="000A1B72">
              <w:t>-8.56 (6.85)</w:t>
            </w:r>
          </w:p>
        </w:tc>
        <w:tc>
          <w:tcPr>
            <w:tcW w:w="2472" w:type="dxa"/>
          </w:tcPr>
          <w:p w14:paraId="25857B80" w14:textId="623FC897" w:rsidR="00AA27D0" w:rsidRPr="00704B0E" w:rsidRDefault="00AA27D0" w:rsidP="00AA27D0">
            <w:pPr>
              <w:pStyle w:val="Paragraph"/>
              <w:ind w:firstLine="25"/>
            </w:pPr>
            <w:r w:rsidRPr="000A1B72">
              <w:t>-8.</w:t>
            </w:r>
            <w:proofErr w:type="gramStart"/>
            <w:r w:rsidRPr="000A1B72">
              <w:t>54  (</w:t>
            </w:r>
            <w:proofErr w:type="gramEnd"/>
            <w:r w:rsidRPr="000A1B72">
              <w:t>6.79)</w:t>
            </w:r>
          </w:p>
        </w:tc>
      </w:tr>
      <w:tr w:rsidR="00AA27D0" w:rsidRPr="00704B0E" w14:paraId="37128CF0" w14:textId="77777777" w:rsidTr="00507830">
        <w:trPr>
          <w:trHeight w:val="68"/>
          <w:jc w:val="center"/>
        </w:trPr>
        <w:tc>
          <w:tcPr>
            <w:tcW w:w="2410" w:type="dxa"/>
          </w:tcPr>
          <w:p w14:paraId="78CF2CB8" w14:textId="77777777" w:rsidR="00AA27D0" w:rsidRPr="00704B0E" w:rsidRDefault="00AA27D0" w:rsidP="00AA27D0">
            <w:pPr>
              <w:pStyle w:val="Paragraph"/>
              <w:ind w:firstLine="0"/>
            </w:pPr>
            <w:r w:rsidRPr="00704B0E">
              <w:t xml:space="preserve">Random effects </w:t>
            </w:r>
          </w:p>
        </w:tc>
        <w:tc>
          <w:tcPr>
            <w:tcW w:w="1918" w:type="dxa"/>
          </w:tcPr>
          <w:p w14:paraId="3EF39737" w14:textId="77777777" w:rsidR="00AA27D0" w:rsidRPr="00704B0E" w:rsidRDefault="00AA27D0" w:rsidP="00AA27D0">
            <w:pPr>
              <w:pStyle w:val="Paragraph"/>
              <w:ind w:firstLine="25"/>
            </w:pPr>
          </w:p>
        </w:tc>
        <w:tc>
          <w:tcPr>
            <w:tcW w:w="1984" w:type="dxa"/>
          </w:tcPr>
          <w:p w14:paraId="21FCE2F0" w14:textId="43FF398C" w:rsidR="00AA27D0" w:rsidRPr="00704B0E" w:rsidRDefault="00AA27D0" w:rsidP="00AA27D0">
            <w:pPr>
              <w:pStyle w:val="Paragraph"/>
              <w:ind w:firstLine="25"/>
            </w:pPr>
            <w:r w:rsidRPr="000A1B72">
              <w:t xml:space="preserve"> </w:t>
            </w:r>
          </w:p>
        </w:tc>
        <w:tc>
          <w:tcPr>
            <w:tcW w:w="2472" w:type="dxa"/>
          </w:tcPr>
          <w:p w14:paraId="7D9ACF60" w14:textId="54765D48" w:rsidR="00AA27D0" w:rsidRPr="00704B0E" w:rsidRDefault="00AA27D0" w:rsidP="00AA27D0">
            <w:pPr>
              <w:pStyle w:val="Paragraph"/>
              <w:ind w:firstLine="25"/>
            </w:pPr>
            <w:r w:rsidRPr="000A1B72">
              <w:t>1336.70</w:t>
            </w:r>
          </w:p>
        </w:tc>
      </w:tr>
      <w:tr w:rsidR="00AA27D0" w:rsidRPr="00704B0E" w14:paraId="1B448A75" w14:textId="77777777" w:rsidTr="00507830">
        <w:trPr>
          <w:trHeight w:val="68"/>
          <w:jc w:val="center"/>
        </w:trPr>
        <w:tc>
          <w:tcPr>
            <w:tcW w:w="2410" w:type="dxa"/>
          </w:tcPr>
          <w:p w14:paraId="5DB59ECA" w14:textId="77777777" w:rsidR="00AA27D0" w:rsidRPr="00704B0E" w:rsidRDefault="00AA27D0" w:rsidP="00AA27D0">
            <w:pPr>
              <w:pStyle w:val="Paragraph"/>
              <w:ind w:firstLine="0"/>
            </w:pPr>
            <w:r w:rsidRPr="00704B0E">
              <w:t xml:space="preserve">Residual </w:t>
            </w:r>
            <w:r w:rsidRPr="00704B0E">
              <w:rPr>
                <w:i/>
              </w:rPr>
              <w:t>(</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w:r w:rsidRPr="00704B0E">
              <w:t xml:space="preserve"> </w:t>
            </w:r>
          </w:p>
        </w:tc>
        <w:tc>
          <w:tcPr>
            <w:tcW w:w="1918" w:type="dxa"/>
          </w:tcPr>
          <w:p w14:paraId="1B998FCA" w14:textId="0F75D791" w:rsidR="00AA27D0" w:rsidRPr="00704B0E" w:rsidRDefault="00AA27D0" w:rsidP="00AA27D0">
            <w:pPr>
              <w:pStyle w:val="Paragraph"/>
              <w:ind w:firstLine="25"/>
            </w:pPr>
            <w:r w:rsidRPr="000A1B72">
              <w:t>1,716.41 (41.67)</w:t>
            </w:r>
          </w:p>
        </w:tc>
        <w:tc>
          <w:tcPr>
            <w:tcW w:w="1984" w:type="dxa"/>
          </w:tcPr>
          <w:p w14:paraId="6D2DFB24" w14:textId="1E20FABD" w:rsidR="00AA27D0" w:rsidRPr="00704B0E" w:rsidRDefault="00AA27D0" w:rsidP="00AA27D0">
            <w:pPr>
              <w:pStyle w:val="Paragraph"/>
              <w:ind w:firstLine="25"/>
            </w:pPr>
            <w:r w:rsidRPr="000A1B72">
              <w:t>1,691.41 (41.075)</w:t>
            </w:r>
          </w:p>
        </w:tc>
        <w:tc>
          <w:tcPr>
            <w:tcW w:w="2472" w:type="dxa"/>
          </w:tcPr>
          <w:p w14:paraId="18088E37" w14:textId="1B558EB6" w:rsidR="00AA27D0" w:rsidRPr="00704B0E" w:rsidRDefault="00AA27D0" w:rsidP="00AA27D0">
            <w:pPr>
              <w:pStyle w:val="Paragraph"/>
              <w:ind w:firstLine="25"/>
            </w:pPr>
            <w:r w:rsidRPr="000A1B72">
              <w:t>1,691.42</w:t>
            </w:r>
          </w:p>
        </w:tc>
      </w:tr>
      <w:tr w:rsidR="00AA27D0" w:rsidRPr="00704B0E" w14:paraId="05C7BC95" w14:textId="77777777" w:rsidTr="00507830">
        <w:trPr>
          <w:trHeight w:val="68"/>
          <w:jc w:val="center"/>
        </w:trPr>
        <w:tc>
          <w:tcPr>
            <w:tcW w:w="2410" w:type="dxa"/>
          </w:tcPr>
          <w:p w14:paraId="2F806001" w14:textId="77777777" w:rsidR="00AA27D0" w:rsidRPr="00704B0E" w:rsidRDefault="00AA27D0" w:rsidP="00AA27D0">
            <w:pPr>
              <w:pStyle w:val="Paragraph"/>
              <w:ind w:firstLine="0"/>
            </w:pPr>
            <w:r w:rsidRPr="00704B0E">
              <w:t xml:space="preserve">Intercept </w:t>
            </w:r>
            <m:oMath>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00</m:t>
                  </m:r>
                </m:sub>
              </m:sSub>
              <m:r>
                <w:rPr>
                  <w:rFonts w:ascii="Cambria Math" w:hAnsi="Cambria Math"/>
                </w:rPr>
                <m:t>)</m:t>
              </m:r>
            </m:oMath>
          </w:p>
        </w:tc>
        <w:tc>
          <w:tcPr>
            <w:tcW w:w="1918" w:type="dxa"/>
          </w:tcPr>
          <w:p w14:paraId="6AEFD45D" w14:textId="7A1486B7" w:rsidR="00AA27D0" w:rsidRPr="00704B0E" w:rsidRDefault="00AA27D0" w:rsidP="00AA27D0">
            <w:pPr>
              <w:pStyle w:val="Paragraph"/>
              <w:ind w:firstLine="25"/>
            </w:pPr>
            <w:r w:rsidRPr="000A1B72">
              <w:t>2,371.32 (245.25)</w:t>
            </w:r>
          </w:p>
        </w:tc>
        <w:tc>
          <w:tcPr>
            <w:tcW w:w="1984" w:type="dxa"/>
          </w:tcPr>
          <w:p w14:paraId="0DB2D100" w14:textId="722351C0" w:rsidR="00AA27D0" w:rsidRPr="00704B0E" w:rsidRDefault="00AA27D0" w:rsidP="00AA27D0">
            <w:pPr>
              <w:pStyle w:val="Paragraph"/>
              <w:ind w:firstLine="25"/>
            </w:pPr>
            <w:r w:rsidRPr="000A1B72">
              <w:t>2,298.76 (238.522)</w:t>
            </w:r>
          </w:p>
        </w:tc>
        <w:tc>
          <w:tcPr>
            <w:tcW w:w="2472" w:type="dxa"/>
          </w:tcPr>
          <w:p w14:paraId="20089EFB" w14:textId="4CF56E69" w:rsidR="00AA27D0" w:rsidRPr="00704B0E" w:rsidRDefault="00AA27D0" w:rsidP="00AA27D0">
            <w:pPr>
              <w:pStyle w:val="Paragraph"/>
              <w:ind w:firstLine="25"/>
            </w:pPr>
            <w:r w:rsidRPr="000A1B72">
              <w:t>2,541.11</w:t>
            </w:r>
          </w:p>
        </w:tc>
      </w:tr>
      <w:tr w:rsidR="00AA27D0" w:rsidRPr="00704B0E" w14:paraId="48D3B104" w14:textId="77777777" w:rsidTr="00507830">
        <w:trPr>
          <w:trHeight w:val="68"/>
          <w:jc w:val="center"/>
        </w:trPr>
        <w:tc>
          <w:tcPr>
            <w:tcW w:w="2410" w:type="dxa"/>
          </w:tcPr>
          <w:p w14:paraId="5A9A58D9" w14:textId="77777777" w:rsidR="00AA27D0" w:rsidRPr="00704B0E" w:rsidRDefault="00AA27D0" w:rsidP="00AA27D0">
            <w:pPr>
              <w:pStyle w:val="Paragraph"/>
              <w:ind w:firstLine="0"/>
            </w:pPr>
            <w:r w:rsidRPr="00704B0E">
              <w:rPr>
                <w:rFonts w:ascii="Calibri" w:hAnsi="Calibri" w:cs="Calibri"/>
                <w:lang w:val="id-ID"/>
              </w:rPr>
              <w:t>﻿</w:t>
            </w:r>
            <w:proofErr w:type="spellStart"/>
            <w:r w:rsidRPr="00704B0E">
              <w:rPr>
                <w:i/>
                <w:iCs/>
                <w:lang w:val="id-ID"/>
              </w:rPr>
              <w:t>Information</w:t>
            </w:r>
            <w:proofErr w:type="spellEnd"/>
            <w:r w:rsidRPr="00704B0E">
              <w:rPr>
                <w:i/>
                <w:iCs/>
                <w:lang w:val="id-ID"/>
              </w:rPr>
              <w:t xml:space="preserve"> </w:t>
            </w:r>
            <w:proofErr w:type="spellStart"/>
            <w:r w:rsidRPr="00704B0E">
              <w:rPr>
                <w:i/>
                <w:iCs/>
                <w:lang w:val="id-ID"/>
              </w:rPr>
              <w:t>criteria</w:t>
            </w:r>
            <w:proofErr w:type="spellEnd"/>
            <w:r w:rsidRPr="00704B0E">
              <w:rPr>
                <w:lang w:val="id-ID"/>
              </w:rPr>
              <w:t xml:space="preserve"> </w:t>
            </w:r>
          </w:p>
        </w:tc>
        <w:tc>
          <w:tcPr>
            <w:tcW w:w="1918" w:type="dxa"/>
          </w:tcPr>
          <w:p w14:paraId="6E4F69ED" w14:textId="77777777" w:rsidR="00AA27D0" w:rsidRPr="00704B0E" w:rsidRDefault="00AA27D0" w:rsidP="00AA27D0">
            <w:pPr>
              <w:pStyle w:val="Paragraph"/>
              <w:ind w:firstLine="25"/>
              <w:rPr>
                <w:lang w:val="id-ID"/>
              </w:rPr>
            </w:pPr>
          </w:p>
        </w:tc>
        <w:tc>
          <w:tcPr>
            <w:tcW w:w="1984" w:type="dxa"/>
          </w:tcPr>
          <w:p w14:paraId="779F94EB" w14:textId="77777777" w:rsidR="00AA27D0" w:rsidRPr="00704B0E" w:rsidRDefault="00AA27D0" w:rsidP="00AA27D0">
            <w:pPr>
              <w:pStyle w:val="Paragraph"/>
              <w:ind w:firstLine="25"/>
              <w:rPr>
                <w:lang w:val="id-ID"/>
              </w:rPr>
            </w:pPr>
          </w:p>
        </w:tc>
        <w:tc>
          <w:tcPr>
            <w:tcW w:w="2472" w:type="dxa"/>
          </w:tcPr>
          <w:p w14:paraId="4020E3E5" w14:textId="77777777" w:rsidR="00AA27D0" w:rsidRPr="00704B0E" w:rsidRDefault="00AA27D0" w:rsidP="00AA27D0">
            <w:pPr>
              <w:pStyle w:val="Paragraph"/>
              <w:ind w:firstLine="25"/>
              <w:rPr>
                <w:lang w:val="id-ID"/>
              </w:rPr>
            </w:pPr>
          </w:p>
        </w:tc>
      </w:tr>
      <w:tr w:rsidR="00AA27D0" w:rsidRPr="00704B0E" w14:paraId="5BE46576" w14:textId="77777777" w:rsidTr="00507830">
        <w:trPr>
          <w:trHeight w:val="68"/>
          <w:jc w:val="center"/>
        </w:trPr>
        <w:tc>
          <w:tcPr>
            <w:tcW w:w="2410" w:type="dxa"/>
          </w:tcPr>
          <w:p w14:paraId="7C3AC4B6" w14:textId="77777777" w:rsidR="00AA27D0" w:rsidRPr="00704B0E" w:rsidRDefault="00AA27D0" w:rsidP="00AA27D0">
            <w:pPr>
              <w:pStyle w:val="Paragraph"/>
              <w:ind w:firstLine="0"/>
            </w:pPr>
            <w:r w:rsidRPr="00704B0E">
              <w:t>AIC</w:t>
            </w:r>
          </w:p>
        </w:tc>
        <w:tc>
          <w:tcPr>
            <w:tcW w:w="1918" w:type="dxa"/>
          </w:tcPr>
          <w:p w14:paraId="75996749" w14:textId="644B6C54" w:rsidR="00AA27D0" w:rsidRPr="00704B0E" w:rsidRDefault="00AA27D0" w:rsidP="00AA27D0">
            <w:pPr>
              <w:pStyle w:val="Paragraph"/>
              <w:ind w:firstLine="25"/>
            </w:pPr>
            <w:r w:rsidRPr="000A1B72">
              <w:t>37,690.97</w:t>
            </w:r>
          </w:p>
        </w:tc>
        <w:tc>
          <w:tcPr>
            <w:tcW w:w="1984" w:type="dxa"/>
          </w:tcPr>
          <w:p w14:paraId="191C4E63" w14:textId="3E6FD3C3" w:rsidR="00AA27D0" w:rsidRPr="00704B0E" w:rsidRDefault="00AA27D0" w:rsidP="00AA27D0">
            <w:pPr>
              <w:pStyle w:val="Paragraph"/>
              <w:ind w:firstLine="25"/>
            </w:pPr>
            <w:r w:rsidRPr="000A1B72">
              <w:t>37,633.87</w:t>
            </w:r>
          </w:p>
        </w:tc>
        <w:tc>
          <w:tcPr>
            <w:tcW w:w="2472" w:type="dxa"/>
          </w:tcPr>
          <w:p w14:paraId="6DF7F0F9" w14:textId="3941DECC" w:rsidR="00AA27D0" w:rsidRPr="00704B0E" w:rsidRDefault="00AA27D0" w:rsidP="00AA27D0">
            <w:pPr>
              <w:pStyle w:val="Paragraph"/>
              <w:ind w:firstLine="25"/>
            </w:pPr>
            <w:r w:rsidRPr="000A1B72">
              <w:t>37,636.61</w:t>
            </w:r>
          </w:p>
        </w:tc>
      </w:tr>
      <w:tr w:rsidR="00AA27D0" w:rsidRPr="00704B0E" w14:paraId="71404E6C" w14:textId="77777777" w:rsidTr="00507830">
        <w:trPr>
          <w:trHeight w:val="68"/>
          <w:jc w:val="center"/>
        </w:trPr>
        <w:tc>
          <w:tcPr>
            <w:tcW w:w="2410" w:type="dxa"/>
          </w:tcPr>
          <w:p w14:paraId="64153403" w14:textId="77777777" w:rsidR="00AA27D0" w:rsidRPr="00704B0E" w:rsidRDefault="00AA27D0" w:rsidP="00AA27D0">
            <w:pPr>
              <w:pStyle w:val="Paragraph"/>
              <w:ind w:firstLine="0"/>
            </w:pPr>
            <w:r w:rsidRPr="00704B0E">
              <w:rPr>
                <w:rFonts w:ascii="Calibri" w:hAnsi="Calibri" w:cs="Calibri"/>
                <w:lang w:val="id-ID"/>
              </w:rPr>
              <w:t>﻿</w:t>
            </w:r>
            <w:r w:rsidRPr="00704B0E">
              <w:t>BIC</w:t>
            </w:r>
          </w:p>
        </w:tc>
        <w:tc>
          <w:tcPr>
            <w:tcW w:w="1918" w:type="dxa"/>
          </w:tcPr>
          <w:p w14:paraId="1C793042" w14:textId="23DDE44C" w:rsidR="00AA27D0" w:rsidRPr="00704B0E" w:rsidRDefault="00AA27D0" w:rsidP="00AA27D0">
            <w:pPr>
              <w:pStyle w:val="Paragraph"/>
              <w:ind w:firstLine="25"/>
            </w:pPr>
            <w:r w:rsidRPr="000A1B72">
              <w:t>37,709.54</w:t>
            </w:r>
          </w:p>
        </w:tc>
        <w:tc>
          <w:tcPr>
            <w:tcW w:w="1984" w:type="dxa"/>
          </w:tcPr>
          <w:p w14:paraId="703D0D4B" w14:textId="1D78B4A6" w:rsidR="00AA27D0" w:rsidRPr="00704B0E" w:rsidRDefault="00AA27D0" w:rsidP="00AA27D0">
            <w:pPr>
              <w:pStyle w:val="Paragraph"/>
              <w:ind w:firstLine="25"/>
            </w:pPr>
            <w:r w:rsidRPr="000A1B72">
              <w:t>37,671.00</w:t>
            </w:r>
          </w:p>
        </w:tc>
        <w:tc>
          <w:tcPr>
            <w:tcW w:w="2472" w:type="dxa"/>
          </w:tcPr>
          <w:p w14:paraId="7133F4B9" w14:textId="1A2F6F9B" w:rsidR="00AA27D0" w:rsidRPr="00704B0E" w:rsidRDefault="00AA27D0" w:rsidP="00AA27D0">
            <w:pPr>
              <w:pStyle w:val="Paragraph"/>
              <w:ind w:firstLine="25"/>
            </w:pPr>
            <w:r w:rsidRPr="000A1B72">
              <w:t>37,686.11</w:t>
            </w:r>
          </w:p>
        </w:tc>
      </w:tr>
    </w:tbl>
    <w:p w14:paraId="269ECFF6" w14:textId="77777777" w:rsidR="00AA27D0" w:rsidRPr="00704B0E" w:rsidRDefault="00AA27D0" w:rsidP="00AA27D0">
      <w:pPr>
        <w:pStyle w:val="Paragraph"/>
      </w:pPr>
      <w:r w:rsidRPr="00704B0E">
        <w:t>Parameter estimate and standard errors listed in parentheses.</w:t>
      </w:r>
    </w:p>
    <w:p w14:paraId="359CC7AA" w14:textId="77777777" w:rsidR="00AA27D0" w:rsidRPr="00704B0E" w:rsidRDefault="00AA27D0" w:rsidP="00AA27D0">
      <w:pPr>
        <w:pStyle w:val="Paragraph"/>
      </w:pPr>
      <w:r w:rsidRPr="00704B0E">
        <w:t xml:space="preserve">*** </w:t>
      </w:r>
      <m:oMath>
        <m:r>
          <w:rPr>
            <w:rFonts w:ascii="Cambria Math" w:hAnsi="Cambria Math"/>
          </w:rPr>
          <m:t>ρ</m:t>
        </m:r>
        <m:r>
          <m:rPr>
            <m:sty m:val="p"/>
          </m:rPr>
          <w:rPr>
            <w:rFonts w:ascii="Cambria Math" w:hAnsi="Cambria Math"/>
          </w:rPr>
          <m:t>&lt;0,001</m:t>
        </m:r>
      </m:oMath>
      <w:r w:rsidRPr="00704B0E">
        <w:t xml:space="preserve">; **  </w:t>
      </w:r>
      <m:oMath>
        <m:r>
          <w:rPr>
            <w:rFonts w:ascii="Cambria Math" w:hAnsi="Cambria Math"/>
          </w:rPr>
          <m:t>ρ</m:t>
        </m:r>
        <m:r>
          <m:rPr>
            <m:sty m:val="p"/>
          </m:rPr>
          <w:rPr>
            <w:rFonts w:ascii="Cambria Math" w:hAnsi="Cambria Math"/>
          </w:rPr>
          <m:t>&lt;0,01</m:t>
        </m:r>
      </m:oMath>
      <w:r w:rsidRPr="00704B0E">
        <w:t xml:space="preserve">; * </w:t>
      </w:r>
      <m:oMath>
        <m:r>
          <w:rPr>
            <w:rFonts w:ascii="Cambria Math" w:hAnsi="Cambria Math"/>
          </w:rPr>
          <m:t>ρ</m:t>
        </m:r>
        <m:r>
          <m:rPr>
            <m:sty m:val="p"/>
          </m:rPr>
          <w:rPr>
            <w:rFonts w:ascii="Cambria Math" w:hAnsi="Cambria Math"/>
          </w:rPr>
          <m:t>&lt;0,05</m:t>
        </m:r>
      </m:oMath>
    </w:p>
    <w:p w14:paraId="0CB589AD" w14:textId="6B0E3726" w:rsidR="0087284F" w:rsidRDefault="0087284F" w:rsidP="004E3C57">
      <w:pPr>
        <w:pStyle w:val="Paragraph"/>
      </w:pPr>
    </w:p>
    <w:p w14:paraId="1B66946F" w14:textId="535B56CE" w:rsidR="00AA27D0" w:rsidRDefault="00E13C94" w:rsidP="004E3C57">
      <w:pPr>
        <w:pStyle w:val="Paragraph"/>
      </w:pPr>
      <w:r>
        <w:t xml:space="preserve">Different school types tend to have different school facilities and teaching-learning activities policies that can caused possibility of different effect on student’s mathematics literacy ability. </w:t>
      </w:r>
      <w:r w:rsidR="00FF5FC6">
        <w:t xml:space="preserve">But in this study, the school type school type predictor did not have significant effect towards students’ mathematics literacy ability. </w:t>
      </w:r>
      <w:r w:rsidR="00003122">
        <w:t xml:space="preserve">The different performance on mathematics achievement in each type of school showed by a research study conducted in Canada. Based on this research, students from </w:t>
      </w:r>
      <w:r w:rsidR="00304633">
        <w:t>private school have higher academic performance than students from public schools</w:t>
      </w:r>
      <w:r w:rsidR="00865DF2">
        <w:t xml:space="preserve"> </w:t>
      </w:r>
      <w:r w:rsidR="00865DF2">
        <w:fldChar w:fldCharType="begin" w:fldLock="1"/>
      </w:r>
      <w:r w:rsidR="00865DF2">
        <w:instrText>ADDIN CSL_CITATION {"citationItems":[{"id":"ITEM-1","itemData":{"DOI":"10.1111/bjep.12254","ISSN":"20448279","PMID":"30374953","abstract":"Background: National ranking from the triennial Programme of International Student Assessment (PISA) often serves as a barometer of national performance and human capital. Though excessive student- and school-level covariates (n &gt; 700) may prove intractable for traditional least-squares estimate procedures, shrinkage methods may be more suitable for subset selection. Aims: With a focus on the United States, this paper proposes sparse regression for PISA 2012 to discover salient student- and school-level predictor variables for mathematical literacy achievement. Sample: The sparse regression analysis was conducted on 10 top-tiered OECD countries/economies, Canada, and the United States in mathematical literacy on the 2012 PISA. Two- and three-level hierarchical regression analyses were performed on Canadian and US students (N = 26,522) along with five of the ten top-tiered countries/economies (N = 58,385). Methods: Using the ‘least absolute shrinkage and selection operator’ (LASSO) technique, the study (1) identified salient predictor variables of mathematical literacy performance for the top-tiered countries/economies, Canada, and the United States and (2) used these salient variables to perform two- and three-level hierarchical regression on data from Canada and the United States along with five top-tiered countries/economies. Weights and replicates were used to account for complex sample design. A weighted, two-level confirmatory factor analysis was performed to identify latent constructs. Missing data were handled through multiple imputation. Results: Separate two-level hierarchical models accounted for 32–35% student-level and 58–70% school-level variance in Canada and the United States, respectively; three-level models accounted for 33% of level-one variance, 62–65% level-two variance, and 13–44% of level-three variance for the US/Canada and US/Canada/top-tiered students, respectively. Following top-tiered countries/economies, Canadian students had high levels of self-efficacy, were more likely to encounter advanced concepts in class, were less activity/small group-centred, and were more likely to consider truancy a learning hindrance. Factor analyses revealed a positive relation with rigour and class organization (teacher-centred) for top-tiered countries and Canada, though not for the United States. For all countries, there was a strong relation between rigour and self-beliefs. Conclusion: Compared to top performers, a less rigorous curriculum, c…","author":[{"dropping-particle":"V.","family":"Brow","given":"Mark","non-dropping-particle":"","parse-names":false,"suffix":""}],"container-title":"British Journal of Educational Psychology","id":"ITEM-1","issue":"4","issued":{"date-parts":[["2019"]]},"page":"726-749","title":"Significant predictors of mathematical literacy for top-tiered countries/economies, Canada, and the United States on PISA 2012: Case for the sparse regression model","type":"article-journal","volume":"89"},"uris":["http://www.mendeley.com/documents/?uuid=7a02fe55-46ce-4e08-82b2-fd1090b91e0d"]}],"mendeley":{"formattedCitation":"[20]","plainTextFormattedCitation":"[20]"},"properties":{"noteIndex":0},"schema":"https://github.com/citation-style-language/schema/raw/master/csl-citation.json"}</w:instrText>
      </w:r>
      <w:r w:rsidR="00865DF2">
        <w:fldChar w:fldCharType="separate"/>
      </w:r>
      <w:r w:rsidR="00865DF2" w:rsidRPr="00865DF2">
        <w:rPr>
          <w:noProof/>
        </w:rPr>
        <w:t>[20]</w:t>
      </w:r>
      <w:r w:rsidR="00865DF2">
        <w:fldChar w:fldCharType="end"/>
      </w:r>
      <w:r w:rsidR="00304633">
        <w:t xml:space="preserve">. </w:t>
      </w:r>
      <w:r w:rsidR="00C752B6">
        <w:t xml:space="preserve">In </w:t>
      </w:r>
      <w:r w:rsidR="00865DF2">
        <w:t>Indonesia, the passing grade of each subject in every school is obtained by using three aspects, which are: the student intake, complexity of the subject, and schools supporting system</w:t>
      </w:r>
      <w:r w:rsidR="00C752B6">
        <w:t>. Because the students’ intake and schools supporting system are different for every school, the subject passing grade will vary across the school and it will also affect the students’ academic performance</w:t>
      </w:r>
      <w:r w:rsidR="00865DF2">
        <w:t xml:space="preserve"> </w:t>
      </w:r>
      <w:r w:rsidR="00865DF2">
        <w:fldChar w:fldCharType="begin" w:fldLock="1"/>
      </w:r>
      <w:r w:rsidR="00865DF2">
        <w:instrText>ADDIN CSL_CITATION {"citationItems":[{"id":"ITEM-1","itemData":{"abstract":"We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$q=-1$.","author":[{"dropping-particle":"","family":"Dinas Pendidikan dan Kebudayaan Republik Indonesia","given":"","non-dropping-particle":"","parse-names":false,"suffix":""}],"id":"ITEM-1","issued":{"date-parts":[["2016"]]},"title":"Peraturan Menteri Pendidikan dan kebudayaan Republik Indonesia Nomor 23 Tahun 2016 Tentang Standar Penilaian Pendidikan","type":"article-journal"},"uris":["http://www.mendeley.com/documents/?uuid=43d4f75f-04c3-4543-a905-6434c1b1d9c3"]}],"mendeley":{"formattedCitation":"[19]","plainTextFormattedCitation":"[19]","previouslyFormattedCitation":"[19]"},"properties":{"noteIndex":0},"schema":"https://github.com/citation-style-language/schema/raw/master/csl-citation.json"}</w:instrText>
      </w:r>
      <w:r w:rsidR="00865DF2">
        <w:fldChar w:fldCharType="separate"/>
      </w:r>
      <w:r w:rsidR="00865DF2" w:rsidRPr="00655D46">
        <w:rPr>
          <w:noProof/>
        </w:rPr>
        <w:t>[19]</w:t>
      </w:r>
      <w:r w:rsidR="00865DF2">
        <w:fldChar w:fldCharType="end"/>
      </w:r>
      <w:r w:rsidR="00865DF2">
        <w:t>.</w:t>
      </w:r>
      <w:r w:rsidR="00FF5FC6" w:rsidRPr="00FF5FC6">
        <w:t xml:space="preserve"> </w:t>
      </w:r>
      <w:r w:rsidR="00C752B6">
        <w:t xml:space="preserve">But these differences did not make school type as a significant predictor in this study. </w:t>
      </w:r>
      <w:r w:rsidR="00AF4DD3">
        <w:t xml:space="preserve">In this study, a total of 3,602 students were included. Among those number </w:t>
      </w:r>
      <w:r w:rsidR="00AF4DD3" w:rsidRPr="00285A67">
        <w:t>1,457 students are from 96 private schools and 2,144 students are from 112 public schools.</w:t>
      </w:r>
      <w:r w:rsidR="00AF4DD3">
        <w:t xml:space="preserve"> It </w:t>
      </w:r>
      <w:r w:rsidR="004B2F67">
        <w:t>means</w:t>
      </w:r>
      <w:r w:rsidR="00AF4DD3">
        <w:t xml:space="preserve"> that the number of students from </w:t>
      </w:r>
      <w:r w:rsidR="004B2F67">
        <w:t>public schools</w:t>
      </w:r>
      <w:r w:rsidR="00AF4DD3">
        <w:t xml:space="preserve"> </w:t>
      </w:r>
      <w:r w:rsidR="004B2F67">
        <w:t xml:space="preserve">almost 1.5 times of the number of students from private schools. Furthermore, the </w:t>
      </w:r>
      <w:r w:rsidR="00524872">
        <w:t xml:space="preserve">future research about the effect of school type on students’ mathematics literacy ability needs to be conducted. </w:t>
      </w:r>
    </w:p>
    <w:p w14:paraId="33130617" w14:textId="486BD1D4" w:rsidR="00524872" w:rsidRDefault="006151F8" w:rsidP="004E3C57">
      <w:pPr>
        <w:pStyle w:val="Paragraph"/>
      </w:pPr>
      <w:r w:rsidRPr="006151F8">
        <w:rPr>
          <w:rFonts w:ascii="Calibri" w:hAnsi="Calibri" w:cs="Calibri"/>
        </w:rPr>
        <w:t>﻿</w:t>
      </w:r>
      <w:r w:rsidRPr="006151F8">
        <w:t>The Akaike information criterion (AIC) and Bayesian information criterion (BIC) were used to select the best model</w:t>
      </w:r>
      <w:r>
        <w:t>.</w:t>
      </w:r>
      <w:r w:rsidRPr="006151F8">
        <w:t xml:space="preserve"> </w:t>
      </w:r>
      <w:r>
        <w:t xml:space="preserve">The </w:t>
      </w:r>
      <w:r w:rsidRPr="006151F8">
        <w:t xml:space="preserve">lower value indicated </w:t>
      </w:r>
      <w:r>
        <w:t xml:space="preserve">a better model. </w:t>
      </w:r>
      <w:r w:rsidR="002D008D">
        <w:t>Comparing all the models used in this study, model 2 is the best model because it has lowest AIC and BIC compared to the others model</w:t>
      </w:r>
      <w:r>
        <w:t xml:space="preserve"> for every mathematics literacy process (employ, formulate, and interpret)</w:t>
      </w:r>
      <w:r w:rsidR="002D008D">
        <w:t xml:space="preserve">. </w:t>
      </w:r>
    </w:p>
    <w:p w14:paraId="24AFE74B" w14:textId="5FA5B2B7" w:rsidR="0087284F" w:rsidRDefault="001A636E" w:rsidP="001A636E">
      <w:pPr>
        <w:pStyle w:val="Paragraph"/>
      </w:pPr>
      <w:r>
        <w:t xml:space="preserve">The findings from this study can be </w:t>
      </w:r>
      <w:r w:rsidR="008E2C35">
        <w:t xml:space="preserve">the source of the current government to make educational policies especially policies related to teacher instructional practices in the classroom. For mathematics teacher, it will give some </w:t>
      </w:r>
      <w:r w:rsidR="00214DFD">
        <w:t>courage</w:t>
      </w:r>
      <w:r w:rsidR="008E2C35">
        <w:t xml:space="preserve"> to improve their teaching activities and to maintain the good things </w:t>
      </w:r>
      <w:r w:rsidR="00214DFD">
        <w:t xml:space="preserve">that they already did. </w:t>
      </w:r>
    </w:p>
    <w:p w14:paraId="238F91B4" w14:textId="4D379F9F" w:rsidR="00D87E2A" w:rsidRDefault="00D87E2A" w:rsidP="00D87E2A">
      <w:pPr>
        <w:pStyle w:val="Heading1"/>
        <w:rPr>
          <w:rFonts w:asciiTheme="majorBidi" w:hAnsiTheme="majorBidi" w:cstheme="majorBidi"/>
        </w:rPr>
      </w:pPr>
      <w:r>
        <w:rPr>
          <w:rFonts w:asciiTheme="majorBidi" w:hAnsiTheme="majorBidi" w:cstheme="majorBidi"/>
        </w:rPr>
        <w:t>CONCLUSION</w:t>
      </w:r>
    </w:p>
    <w:p w14:paraId="69F38534" w14:textId="06F5492F" w:rsidR="00237F49" w:rsidRPr="00237F49" w:rsidRDefault="00237F49" w:rsidP="00237F49">
      <w:pPr>
        <w:pStyle w:val="Paragraph"/>
      </w:pPr>
      <w:r w:rsidRPr="00237F49">
        <w:t xml:space="preserve">PISA is a triennial standardized international assessment measuring 15-years-old students’ mathematics, reading, and science literacy, organized by the Organization for Economic Cooperation and Development. </w:t>
      </w:r>
      <w:r>
        <w:t xml:space="preserve">As one of the </w:t>
      </w:r>
      <w:r w:rsidRPr="00237F49">
        <w:t>examples of a Large-Scale Assessment (LSA)</w:t>
      </w:r>
      <w:r>
        <w:t xml:space="preserve">, PISA 2012 data </w:t>
      </w:r>
      <w:r w:rsidRPr="00237F49">
        <w:t xml:space="preserve">provides information about the extent to which students of a certain age or class in an education system learn the expected competencies. Through </w:t>
      </w:r>
      <w:r w:rsidR="005F3BE1">
        <w:t xml:space="preserve">a </w:t>
      </w:r>
      <w:r w:rsidRPr="00237F49">
        <w:t xml:space="preserve">multilevel analysis, </w:t>
      </w:r>
      <w:r w:rsidR="005F3BE1">
        <w:t xml:space="preserve">from PISA 2012 data, it is found that </w:t>
      </w:r>
      <w:r w:rsidR="002B430C" w:rsidRPr="002B430C">
        <w:t xml:space="preserve">students' mathematical literacy abilities vary between students in the </w:t>
      </w:r>
      <w:r w:rsidR="002B430C">
        <w:t xml:space="preserve">same </w:t>
      </w:r>
      <w:r w:rsidR="002B430C" w:rsidRPr="002B430C">
        <w:t xml:space="preserve">school. </w:t>
      </w:r>
      <w:r w:rsidR="002F2D56">
        <w:t>T</w:t>
      </w:r>
      <w:r w:rsidR="002B430C" w:rsidRPr="002B430C">
        <w:t xml:space="preserve">eacher support </w:t>
      </w:r>
      <w:r w:rsidR="002B430C">
        <w:t>ha</w:t>
      </w:r>
      <w:r w:rsidR="002F2D56">
        <w:t>d</w:t>
      </w:r>
      <w:r w:rsidR="002B430C">
        <w:t xml:space="preserve"> significant effect on</w:t>
      </w:r>
      <w:r w:rsidR="002B430C" w:rsidRPr="002B430C">
        <w:t xml:space="preserve"> mathematical literacy skills in all</w:t>
      </w:r>
      <w:r w:rsidR="002B430C">
        <w:t xml:space="preserve"> mathematics literacy</w:t>
      </w:r>
      <w:r w:rsidR="002B430C" w:rsidRPr="002B430C">
        <w:t xml:space="preserve"> </w:t>
      </w:r>
      <w:r w:rsidR="002B430C">
        <w:t>proces</w:t>
      </w:r>
      <w:r w:rsidR="002B430C" w:rsidRPr="002B430C">
        <w:t xml:space="preserve">s </w:t>
      </w:r>
      <w:r w:rsidR="002B430C">
        <w:t>(employ, formulate, interpret)</w:t>
      </w:r>
      <w:r w:rsidR="002F2D56">
        <w:t>, while the cognitive activation had significant effect on formulate and interpret steps, but did not significant toward the employ process. The school type also did not have significant effect toward students’ mathematics literacy ability</w:t>
      </w:r>
      <w:r w:rsidR="004D7AEB">
        <w:t xml:space="preserve"> in all processes. By comparing the value of AIC and BIC, model 1 is the best model can be used for further analysis. </w:t>
      </w:r>
    </w:p>
    <w:p w14:paraId="4F4EA3E3" w14:textId="2A3DA196" w:rsidR="000B3A2D" w:rsidRDefault="0016385D" w:rsidP="004D7AEB">
      <w:pPr>
        <w:pStyle w:val="Heading1"/>
        <w:rPr>
          <w:b w:val="0"/>
          <w:caps w:val="0"/>
          <w:sz w:val="20"/>
        </w:rPr>
      </w:pPr>
      <w:r w:rsidRPr="00075EA6">
        <w:rPr>
          <w:rFonts w:asciiTheme="majorBidi" w:hAnsiTheme="majorBidi" w:cstheme="majorBidi"/>
        </w:rPr>
        <w:lastRenderedPageBreak/>
        <w:t>Acknowledgments</w:t>
      </w:r>
      <w:r w:rsidR="00B1000D">
        <w:rPr>
          <w:rFonts w:asciiTheme="majorBidi" w:hAnsiTheme="majorBidi" w:cstheme="majorBidi"/>
        </w:rPr>
        <w:br/>
      </w:r>
    </w:p>
    <w:p w14:paraId="196CCF50" w14:textId="76AC9310" w:rsidR="004D7AEB" w:rsidRPr="004D7AEB" w:rsidRDefault="004D7AEB" w:rsidP="004D7AEB">
      <w:pPr>
        <w:pStyle w:val="Paragraph"/>
        <w:rPr>
          <w:lang w:val="en-KR"/>
        </w:rPr>
      </w:pPr>
      <w:r>
        <w:t xml:space="preserve">The writer </w:t>
      </w:r>
      <w:r w:rsidR="003403EB">
        <w:t>wants</w:t>
      </w:r>
      <w:r>
        <w:t xml:space="preserve"> to say thank you to the OECD organization for providing free PISA 2012 data that can be accessed through this link </w:t>
      </w:r>
      <w:hyperlink r:id="rId13" w:history="1">
        <w:r w:rsidRPr="00CF688D">
          <w:rPr>
            <w:rStyle w:val="Hyperlink"/>
          </w:rPr>
          <w:t>https://www.oecd.org/pisa/data/</w:t>
        </w:r>
      </w:hyperlink>
      <w:r w:rsidRPr="004D7AEB">
        <w:t>.</w:t>
      </w:r>
      <w:r>
        <w:t xml:space="preserve"> The writer also </w:t>
      </w:r>
      <w:r w:rsidR="003403EB">
        <w:t>wants</w:t>
      </w:r>
      <w:r>
        <w:t xml:space="preserve"> to send her best regards to </w:t>
      </w:r>
      <w:r w:rsidR="003403EB">
        <w:t xml:space="preserve">her </w:t>
      </w:r>
      <w:r>
        <w:t xml:space="preserve">Multilevel Modelling lecturer, </w:t>
      </w:r>
      <w:proofErr w:type="spellStart"/>
      <w:r>
        <w:t>Kismiantini</w:t>
      </w:r>
      <w:proofErr w:type="spellEnd"/>
      <w:r>
        <w:t xml:space="preserve">, </w:t>
      </w:r>
      <w:proofErr w:type="spellStart"/>
      <w:proofErr w:type="gramStart"/>
      <w:r>
        <w:t>P.hd</w:t>
      </w:r>
      <w:proofErr w:type="spellEnd"/>
      <w:proofErr w:type="gramEnd"/>
      <w:r w:rsidR="003403EB">
        <w:t xml:space="preserve">, for helping the writer learning and understanding multilevel modelling so the writer can finish this paper well. And the last, for the writer discussion buddy, Dini </w:t>
      </w:r>
      <w:proofErr w:type="spellStart"/>
      <w:r w:rsidR="003403EB">
        <w:t>Liya</w:t>
      </w:r>
      <w:proofErr w:type="spellEnd"/>
      <w:r w:rsidR="003403EB">
        <w:t xml:space="preserve"> </w:t>
      </w:r>
      <w:proofErr w:type="spellStart"/>
      <w:r w:rsidR="003403EB">
        <w:t>Meirani</w:t>
      </w:r>
      <w:proofErr w:type="spellEnd"/>
      <w:r w:rsidR="003403EB">
        <w:t xml:space="preserve"> </w:t>
      </w:r>
      <w:proofErr w:type="spellStart"/>
      <w:r w:rsidR="003403EB">
        <w:t>Simatupang</w:t>
      </w:r>
      <w:proofErr w:type="spellEnd"/>
      <w:r w:rsidR="003403EB">
        <w:t xml:space="preserve">, </w:t>
      </w:r>
      <w:r w:rsidR="00F245A3">
        <w:t xml:space="preserve">the writer wants to say </w:t>
      </w:r>
      <w:r w:rsidR="003403EB">
        <w:t xml:space="preserve">thank you for always being the best discussion partner during the writing processes. </w:t>
      </w:r>
    </w:p>
    <w:p w14:paraId="16F21B4D" w14:textId="5B3B864A" w:rsidR="00F52729" w:rsidRDefault="0016385D" w:rsidP="00F52729">
      <w:pPr>
        <w:pStyle w:val="Heading1"/>
        <w:rPr>
          <w:rFonts w:asciiTheme="majorBidi" w:hAnsiTheme="majorBidi" w:cstheme="majorBidi"/>
        </w:rPr>
      </w:pPr>
      <w:r w:rsidRPr="00075EA6">
        <w:rPr>
          <w:rFonts w:asciiTheme="majorBidi" w:hAnsiTheme="majorBidi" w:cstheme="majorBidi"/>
        </w:rPr>
        <w:t>References</w:t>
      </w:r>
    </w:p>
    <w:p w14:paraId="3A9EB4F2"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OECD, PISA 2012 Assessment and Analytical Framework: Mathematics, Reading, Science, Problem Solving and Financial Literacy. 2013.</w:t>
      </w:r>
    </w:p>
    <w:p w14:paraId="75907BFB"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P. </w:t>
      </w:r>
      <w:proofErr w:type="spellStart"/>
      <w:r w:rsidRPr="00701C3D">
        <w:rPr>
          <w:sz w:val="20"/>
        </w:rPr>
        <w:t>Lietz</w:t>
      </w:r>
      <w:proofErr w:type="spellEnd"/>
      <w:r w:rsidRPr="00701C3D">
        <w:rPr>
          <w:sz w:val="20"/>
        </w:rPr>
        <w:t xml:space="preserve">, J. C. </w:t>
      </w:r>
      <w:proofErr w:type="spellStart"/>
      <w:r w:rsidRPr="00701C3D">
        <w:rPr>
          <w:sz w:val="20"/>
        </w:rPr>
        <w:t>Cresswell</w:t>
      </w:r>
      <w:proofErr w:type="spellEnd"/>
      <w:r w:rsidRPr="00701C3D">
        <w:rPr>
          <w:sz w:val="20"/>
        </w:rPr>
        <w:t>, K. F. Rust, and R. J. Adams, “Implementation of Large-Scale Education Assessments,” in Implementation of Large-Scale Education Assessments, 2017.</w:t>
      </w:r>
    </w:p>
    <w:p w14:paraId="42F144BE"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E. M. </w:t>
      </w:r>
      <w:proofErr w:type="spellStart"/>
      <w:r w:rsidRPr="00701C3D">
        <w:rPr>
          <w:sz w:val="20"/>
        </w:rPr>
        <w:t>Skaalvik</w:t>
      </w:r>
      <w:proofErr w:type="spellEnd"/>
      <w:r w:rsidRPr="00701C3D">
        <w:rPr>
          <w:sz w:val="20"/>
        </w:rPr>
        <w:t>, R. A. Federici, and R. M. Klassen, “Mathematics achievement and self-efficacy: Relations with motivation for mathematics,” Int. J. Educ. Res., vol. 72, pp. 129–136, 2015.</w:t>
      </w:r>
    </w:p>
    <w:p w14:paraId="3CE710E7"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J. Hattie, Visible learning: A synthesis of over 800 meta-analyses relating to achievement. 2008.</w:t>
      </w:r>
    </w:p>
    <w:p w14:paraId="07804CA2"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R. Yu and K. Singh, “Teacher support, instructional practices, student motivation, and mathematics achievement in high school,” J. Educ. Res., vol. 111, no. 1, pp. 81–94, 2018.</w:t>
      </w:r>
    </w:p>
    <w:p w14:paraId="600886BE"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H. Patrick, A. M. Ryan, and A. Kaplan, “Early adolescents’ perceptions of the classroom social environment, motivational beliefs, and engagement,” J. Educ. Psychol., vol. 99, no. 1, pp. 83–98, 2007.</w:t>
      </w:r>
    </w:p>
    <w:p w14:paraId="42260116" w14:textId="77777777" w:rsidR="00701C3D" w:rsidRPr="00701C3D" w:rsidRDefault="00701C3D" w:rsidP="00402A5F">
      <w:pPr>
        <w:pStyle w:val="ListParagraph"/>
        <w:numPr>
          <w:ilvl w:val="0"/>
          <w:numId w:val="10"/>
        </w:numPr>
        <w:spacing w:before="120" w:after="240"/>
        <w:ind w:left="425"/>
        <w:jc w:val="both"/>
        <w:rPr>
          <w:sz w:val="20"/>
        </w:rPr>
      </w:pPr>
      <w:proofErr w:type="spellStart"/>
      <w:r w:rsidRPr="00701C3D">
        <w:rPr>
          <w:sz w:val="20"/>
        </w:rPr>
        <w:t>Kitsantas</w:t>
      </w:r>
      <w:proofErr w:type="spellEnd"/>
      <w:r w:rsidRPr="00701C3D">
        <w:rPr>
          <w:sz w:val="20"/>
        </w:rPr>
        <w:t>, T. J. Cleary, A. Whitehead, and J. Cheema, “Relations among classroom context, student motivation, and mathematics literacy: a social cognitive perspective,” Metacognition Learn., vol. 16, no. 2, pp. 255–273, 2021.</w:t>
      </w:r>
    </w:p>
    <w:p w14:paraId="47048F92" w14:textId="77777777" w:rsidR="00701C3D" w:rsidRPr="00701C3D" w:rsidRDefault="00701C3D" w:rsidP="00402A5F">
      <w:pPr>
        <w:pStyle w:val="ListParagraph"/>
        <w:numPr>
          <w:ilvl w:val="0"/>
          <w:numId w:val="10"/>
        </w:numPr>
        <w:spacing w:before="120" w:after="240"/>
        <w:ind w:left="425"/>
        <w:jc w:val="both"/>
        <w:rPr>
          <w:sz w:val="20"/>
        </w:rPr>
      </w:pPr>
      <w:proofErr w:type="spellStart"/>
      <w:r w:rsidRPr="00701C3D">
        <w:rPr>
          <w:sz w:val="20"/>
        </w:rPr>
        <w:t>Förtsch</w:t>
      </w:r>
      <w:proofErr w:type="spellEnd"/>
      <w:r w:rsidRPr="00701C3D">
        <w:rPr>
          <w:sz w:val="20"/>
        </w:rPr>
        <w:t xml:space="preserve">, S. Werner, T. </w:t>
      </w:r>
      <w:proofErr w:type="spellStart"/>
      <w:r w:rsidRPr="00701C3D">
        <w:rPr>
          <w:sz w:val="20"/>
        </w:rPr>
        <w:t>Dorfner</w:t>
      </w:r>
      <w:proofErr w:type="spellEnd"/>
      <w:r w:rsidRPr="00701C3D">
        <w:rPr>
          <w:sz w:val="20"/>
        </w:rPr>
        <w:t>, L. von Kotzebue, and B. J. Neuhaus, “Effects of Cognitive Activation in Biology Lessons on Students’ Situational Interest and Achievement,” Res. Sci. Educ., vol. 47, no. 3, pp. 559–578, 2017.</w:t>
      </w:r>
    </w:p>
    <w:p w14:paraId="1504A111"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Zhang, C. Wang, and Y. Yang, “The association between cognitive activation and mathematics achievement: a multiple mediation model,” Educ. Psychol., vol. 41, no. 6, pp. 695–711, 2021.</w:t>
      </w:r>
    </w:p>
    <w:p w14:paraId="6DA3D886"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H. Li, J. Liu, D. Zhang, and H. Liu, “Examining the relationships between cognitive activation, self-efficacy, socioeconomic status, and achievement in mathematics: A multi-level analysis,” Br. J. Educ. Psychol., vol. 91, no. 1, pp. 101–126, 2021.</w:t>
      </w:r>
    </w:p>
    <w:p w14:paraId="41B6743B"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J. Baumert, M. </w:t>
      </w:r>
      <w:proofErr w:type="spellStart"/>
      <w:r w:rsidRPr="00701C3D">
        <w:rPr>
          <w:sz w:val="20"/>
        </w:rPr>
        <w:t>Kunter</w:t>
      </w:r>
      <w:proofErr w:type="spellEnd"/>
      <w:r w:rsidRPr="00701C3D">
        <w:rPr>
          <w:sz w:val="20"/>
        </w:rPr>
        <w:t xml:space="preserve">, W. Blum, U. </w:t>
      </w:r>
      <w:proofErr w:type="spellStart"/>
      <w:r w:rsidRPr="00701C3D">
        <w:rPr>
          <w:sz w:val="20"/>
        </w:rPr>
        <w:t>Klusmann</w:t>
      </w:r>
      <w:proofErr w:type="spellEnd"/>
      <w:r w:rsidRPr="00701C3D">
        <w:rPr>
          <w:sz w:val="20"/>
        </w:rPr>
        <w:t xml:space="preserve">, S. Krauss, and M. </w:t>
      </w:r>
      <w:proofErr w:type="spellStart"/>
      <w:r w:rsidRPr="00701C3D">
        <w:rPr>
          <w:sz w:val="20"/>
        </w:rPr>
        <w:t>Neubrand</w:t>
      </w:r>
      <w:proofErr w:type="spellEnd"/>
      <w:r w:rsidRPr="00701C3D">
        <w:rPr>
          <w:sz w:val="20"/>
        </w:rPr>
        <w:t xml:space="preserve">, “Cognitive activation in the mathematics classroom and professional competence of teachers: Results from the COACTIV project,” </w:t>
      </w:r>
      <w:proofErr w:type="spellStart"/>
      <w:r w:rsidRPr="00701C3D">
        <w:rPr>
          <w:sz w:val="20"/>
        </w:rPr>
        <w:t>Cogn</w:t>
      </w:r>
      <w:proofErr w:type="spellEnd"/>
      <w:r w:rsidRPr="00701C3D">
        <w:rPr>
          <w:sz w:val="20"/>
        </w:rPr>
        <w:t xml:space="preserve">. Act. Math. </w:t>
      </w:r>
      <w:proofErr w:type="spellStart"/>
      <w:r w:rsidRPr="00701C3D">
        <w:rPr>
          <w:sz w:val="20"/>
        </w:rPr>
        <w:t>Classr</w:t>
      </w:r>
      <w:proofErr w:type="spellEnd"/>
      <w:r w:rsidRPr="00701C3D">
        <w:rPr>
          <w:sz w:val="20"/>
        </w:rPr>
        <w:t xml:space="preserve">. Prof. Competence Teach. Results from COACTIV </w:t>
      </w:r>
      <w:proofErr w:type="spellStart"/>
      <w:r w:rsidRPr="00701C3D">
        <w:rPr>
          <w:sz w:val="20"/>
        </w:rPr>
        <w:t>Proj</w:t>
      </w:r>
      <w:proofErr w:type="spellEnd"/>
      <w:r w:rsidRPr="00701C3D">
        <w:rPr>
          <w:sz w:val="20"/>
        </w:rPr>
        <w:t>., pp. 1–378, 2013.</w:t>
      </w:r>
    </w:p>
    <w:p w14:paraId="0F95D67A"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H. S. You, S. Park, and C. Delgado, “A closer look at US schools: What characteristics are associated with scientific literacy? A multivariate multilevel analysis using PISA 2015,” Sci. Educ., vol. 105, no. 2, pp. 406–437, 2021.</w:t>
      </w:r>
    </w:p>
    <w:p w14:paraId="0251AE09"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S. W. </w:t>
      </w:r>
      <w:proofErr w:type="spellStart"/>
      <w:r w:rsidRPr="00701C3D">
        <w:rPr>
          <w:sz w:val="20"/>
        </w:rPr>
        <w:t>Raudenbush</w:t>
      </w:r>
      <w:proofErr w:type="spellEnd"/>
      <w:r w:rsidRPr="00701C3D">
        <w:rPr>
          <w:sz w:val="20"/>
        </w:rPr>
        <w:t xml:space="preserve"> and A. S. Bryk, Hierarchical linear modeling: Applications and data analysis methods, Second Edi. California, 2002.</w:t>
      </w:r>
    </w:p>
    <w:p w14:paraId="128E4D17"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J. Pinheiro, D. Bates, S. </w:t>
      </w:r>
      <w:proofErr w:type="spellStart"/>
      <w:r w:rsidRPr="00701C3D">
        <w:rPr>
          <w:sz w:val="20"/>
        </w:rPr>
        <w:t>DebRoy</w:t>
      </w:r>
      <w:proofErr w:type="spellEnd"/>
      <w:r w:rsidRPr="00701C3D">
        <w:rPr>
          <w:sz w:val="20"/>
        </w:rPr>
        <w:t xml:space="preserve">, D. Sarkar, and S. </w:t>
      </w:r>
      <w:proofErr w:type="spellStart"/>
      <w:r w:rsidRPr="00701C3D">
        <w:rPr>
          <w:sz w:val="20"/>
        </w:rPr>
        <w:t>Heisterkamp</w:t>
      </w:r>
      <w:proofErr w:type="spellEnd"/>
      <w:r w:rsidRPr="00701C3D">
        <w:rPr>
          <w:sz w:val="20"/>
        </w:rPr>
        <w:t>, “</w:t>
      </w:r>
      <w:proofErr w:type="spellStart"/>
      <w:r w:rsidRPr="00701C3D">
        <w:rPr>
          <w:sz w:val="20"/>
        </w:rPr>
        <w:t>nlme</w:t>
      </w:r>
      <w:proofErr w:type="spellEnd"/>
      <w:r w:rsidRPr="00701C3D">
        <w:rPr>
          <w:sz w:val="20"/>
        </w:rPr>
        <w:t>: Linear and nonlinear mixed effects models, R package version 3.1-157,” 2022.</w:t>
      </w:r>
    </w:p>
    <w:p w14:paraId="78301936"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J. L. </w:t>
      </w:r>
      <w:proofErr w:type="spellStart"/>
      <w:r w:rsidRPr="00701C3D">
        <w:rPr>
          <w:sz w:val="20"/>
        </w:rPr>
        <w:t>Peugh</w:t>
      </w:r>
      <w:proofErr w:type="spellEnd"/>
      <w:r w:rsidRPr="00701C3D">
        <w:rPr>
          <w:sz w:val="20"/>
        </w:rPr>
        <w:t>, “A practical guide to multilevel modeling,” J. Sch. Psychol., vol. 48, no. 1, pp. 85–112, 2010.</w:t>
      </w:r>
    </w:p>
    <w:p w14:paraId="684423C0"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R. </w:t>
      </w:r>
      <w:proofErr w:type="spellStart"/>
      <w:r w:rsidRPr="00701C3D">
        <w:rPr>
          <w:sz w:val="20"/>
        </w:rPr>
        <w:t>Pillinger</w:t>
      </w:r>
      <w:proofErr w:type="spellEnd"/>
      <w:r w:rsidRPr="00701C3D">
        <w:rPr>
          <w:sz w:val="20"/>
        </w:rPr>
        <w:t>, “Random slope models,” University of Bristol. [Online]. Available: http://www.bristol.ac.uk/cmm/learning/videos/random-slopes.html. [Accessed: 03-Jul-2022].</w:t>
      </w:r>
    </w:p>
    <w:p w14:paraId="191C75C3"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S. </w:t>
      </w:r>
      <w:proofErr w:type="spellStart"/>
      <w:r w:rsidRPr="00701C3D">
        <w:rPr>
          <w:sz w:val="20"/>
        </w:rPr>
        <w:t>Alagumalai</w:t>
      </w:r>
      <w:proofErr w:type="spellEnd"/>
      <w:r w:rsidRPr="00701C3D">
        <w:rPr>
          <w:sz w:val="20"/>
        </w:rPr>
        <w:t xml:space="preserve"> and N. </w:t>
      </w:r>
      <w:proofErr w:type="spellStart"/>
      <w:r w:rsidRPr="00701C3D">
        <w:rPr>
          <w:sz w:val="20"/>
        </w:rPr>
        <w:t>Buchdahl</w:t>
      </w:r>
      <w:proofErr w:type="spellEnd"/>
      <w:r w:rsidRPr="00701C3D">
        <w:rPr>
          <w:sz w:val="20"/>
        </w:rPr>
        <w:t>, “PISA 2012: Examining the influence of prior knowledge, time-on-task, school-level effects on achievements in mathematical literacy processes – Interpret, employ and formulate,” Aust. J. Educ., vol. 65, no. 2, pp. 173–194, 2021.</w:t>
      </w:r>
    </w:p>
    <w:p w14:paraId="73DE7ABA"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J. Baumert et al., “Teachers’ mathematical knowledge, cognitive activation in the classroom, and student progress,” Am. Educ. Res. J., vol. 47, no. 1, pp. 133–180, 2010.</w:t>
      </w:r>
    </w:p>
    <w:p w14:paraId="391716F3"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t xml:space="preserve">Dinas Pendidikan dan </w:t>
      </w:r>
      <w:proofErr w:type="spellStart"/>
      <w:r w:rsidRPr="00701C3D">
        <w:rPr>
          <w:sz w:val="20"/>
        </w:rPr>
        <w:t>Kebudayaan</w:t>
      </w:r>
      <w:proofErr w:type="spellEnd"/>
      <w:r w:rsidRPr="00701C3D">
        <w:rPr>
          <w:sz w:val="20"/>
        </w:rPr>
        <w:t xml:space="preserve"> </w:t>
      </w:r>
      <w:proofErr w:type="spellStart"/>
      <w:r w:rsidRPr="00701C3D">
        <w:rPr>
          <w:sz w:val="20"/>
        </w:rPr>
        <w:t>Republik</w:t>
      </w:r>
      <w:proofErr w:type="spellEnd"/>
      <w:r w:rsidRPr="00701C3D">
        <w:rPr>
          <w:sz w:val="20"/>
        </w:rPr>
        <w:t xml:space="preserve"> Indonesia, “</w:t>
      </w:r>
      <w:proofErr w:type="spellStart"/>
      <w:r w:rsidRPr="00701C3D">
        <w:rPr>
          <w:sz w:val="20"/>
        </w:rPr>
        <w:t>Peraturan</w:t>
      </w:r>
      <w:proofErr w:type="spellEnd"/>
      <w:r w:rsidRPr="00701C3D">
        <w:rPr>
          <w:sz w:val="20"/>
        </w:rPr>
        <w:t xml:space="preserve"> Menteri Pendidikan dan </w:t>
      </w:r>
      <w:proofErr w:type="spellStart"/>
      <w:r w:rsidRPr="00701C3D">
        <w:rPr>
          <w:sz w:val="20"/>
        </w:rPr>
        <w:t>kebudayaan</w:t>
      </w:r>
      <w:proofErr w:type="spellEnd"/>
      <w:r w:rsidRPr="00701C3D">
        <w:rPr>
          <w:sz w:val="20"/>
        </w:rPr>
        <w:t xml:space="preserve"> </w:t>
      </w:r>
      <w:proofErr w:type="spellStart"/>
      <w:r w:rsidRPr="00701C3D">
        <w:rPr>
          <w:sz w:val="20"/>
        </w:rPr>
        <w:t>Republik</w:t>
      </w:r>
      <w:proofErr w:type="spellEnd"/>
      <w:r w:rsidRPr="00701C3D">
        <w:rPr>
          <w:sz w:val="20"/>
        </w:rPr>
        <w:t xml:space="preserve"> Indonesia </w:t>
      </w:r>
      <w:proofErr w:type="spellStart"/>
      <w:r w:rsidRPr="00701C3D">
        <w:rPr>
          <w:sz w:val="20"/>
        </w:rPr>
        <w:t>Nomor</w:t>
      </w:r>
      <w:proofErr w:type="spellEnd"/>
      <w:r w:rsidRPr="00701C3D">
        <w:rPr>
          <w:sz w:val="20"/>
        </w:rPr>
        <w:t xml:space="preserve"> 23 </w:t>
      </w:r>
      <w:proofErr w:type="spellStart"/>
      <w:r w:rsidRPr="00701C3D">
        <w:rPr>
          <w:sz w:val="20"/>
        </w:rPr>
        <w:t>Tahun</w:t>
      </w:r>
      <w:proofErr w:type="spellEnd"/>
      <w:r w:rsidRPr="00701C3D">
        <w:rPr>
          <w:sz w:val="20"/>
        </w:rPr>
        <w:t xml:space="preserve"> 2016 </w:t>
      </w:r>
      <w:proofErr w:type="spellStart"/>
      <w:r w:rsidRPr="00701C3D">
        <w:rPr>
          <w:sz w:val="20"/>
        </w:rPr>
        <w:t>Tentang</w:t>
      </w:r>
      <w:proofErr w:type="spellEnd"/>
      <w:r w:rsidRPr="00701C3D">
        <w:rPr>
          <w:sz w:val="20"/>
        </w:rPr>
        <w:t xml:space="preserve"> </w:t>
      </w:r>
      <w:proofErr w:type="spellStart"/>
      <w:r w:rsidRPr="00701C3D">
        <w:rPr>
          <w:sz w:val="20"/>
        </w:rPr>
        <w:t>Standar</w:t>
      </w:r>
      <w:proofErr w:type="spellEnd"/>
      <w:r w:rsidRPr="00701C3D">
        <w:rPr>
          <w:sz w:val="20"/>
        </w:rPr>
        <w:t xml:space="preserve"> </w:t>
      </w:r>
      <w:proofErr w:type="spellStart"/>
      <w:r w:rsidRPr="00701C3D">
        <w:rPr>
          <w:sz w:val="20"/>
        </w:rPr>
        <w:t>Penilaian</w:t>
      </w:r>
      <w:proofErr w:type="spellEnd"/>
      <w:r w:rsidRPr="00701C3D">
        <w:rPr>
          <w:sz w:val="20"/>
        </w:rPr>
        <w:t xml:space="preserve"> Pendidikan,” 2016.</w:t>
      </w:r>
    </w:p>
    <w:p w14:paraId="45D838FA" w14:textId="77777777" w:rsidR="00701C3D" w:rsidRPr="00701C3D" w:rsidRDefault="00701C3D" w:rsidP="00402A5F">
      <w:pPr>
        <w:pStyle w:val="ListParagraph"/>
        <w:numPr>
          <w:ilvl w:val="0"/>
          <w:numId w:val="10"/>
        </w:numPr>
        <w:spacing w:before="120" w:after="240"/>
        <w:ind w:left="425"/>
        <w:jc w:val="both"/>
        <w:rPr>
          <w:sz w:val="20"/>
        </w:rPr>
      </w:pPr>
      <w:r w:rsidRPr="00701C3D">
        <w:rPr>
          <w:sz w:val="20"/>
        </w:rPr>
        <w:lastRenderedPageBreak/>
        <w:t>M. V. Brow, “Significant predictors of mathematical literacy for top-tiered countries/economies, Canada, and the United States on PISA 2012: Case for the sparse regression model,” Br. J. Educ. Psychol., vol. 89, no. 4, pp. 726–749, 2019.</w:t>
      </w:r>
    </w:p>
    <w:p w14:paraId="130E9A5A" w14:textId="77777777" w:rsidR="00701C3D" w:rsidRPr="00701C3D" w:rsidRDefault="00701C3D" w:rsidP="00402A5F">
      <w:pPr>
        <w:spacing w:before="120" w:after="240"/>
        <w:ind w:left="425"/>
        <w:jc w:val="both"/>
        <w:rPr>
          <w:sz w:val="20"/>
        </w:rPr>
      </w:pPr>
    </w:p>
    <w:p w14:paraId="324425C5" w14:textId="77777777" w:rsidR="00701C3D" w:rsidRPr="00701C3D" w:rsidRDefault="00701C3D" w:rsidP="00402A5F">
      <w:pPr>
        <w:spacing w:before="120" w:after="240"/>
        <w:ind w:left="425"/>
        <w:jc w:val="both"/>
        <w:rPr>
          <w:sz w:val="20"/>
        </w:rPr>
      </w:pPr>
    </w:p>
    <w:p w14:paraId="7B69BD72" w14:textId="77777777" w:rsidR="00701C3D" w:rsidRPr="00701C3D" w:rsidRDefault="00701C3D" w:rsidP="00701C3D">
      <w:pPr>
        <w:spacing w:before="120" w:after="240"/>
        <w:ind w:left="425"/>
        <w:rPr>
          <w:sz w:val="20"/>
        </w:rPr>
      </w:pPr>
    </w:p>
    <w:p w14:paraId="2295B82D" w14:textId="77777777" w:rsidR="00701C3D" w:rsidRPr="00701C3D" w:rsidRDefault="00701C3D" w:rsidP="00701C3D">
      <w:pPr>
        <w:spacing w:before="120" w:after="240"/>
        <w:ind w:left="425"/>
        <w:rPr>
          <w:sz w:val="20"/>
        </w:rPr>
      </w:pPr>
    </w:p>
    <w:p w14:paraId="4DE91CCB" w14:textId="4D372FCE" w:rsidR="00326AE0" w:rsidRPr="00701C3D" w:rsidRDefault="00326AE0" w:rsidP="00701C3D">
      <w:pPr>
        <w:pStyle w:val="Reference"/>
        <w:numPr>
          <w:ilvl w:val="0"/>
          <w:numId w:val="0"/>
        </w:numPr>
        <w:spacing w:before="120" w:after="240"/>
        <w:ind w:left="425"/>
      </w:pPr>
    </w:p>
    <w:sectPr w:rsidR="00326AE0" w:rsidRPr="00701C3D"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CD111BF"/>
    <w:multiLevelType w:val="hybridMultilevel"/>
    <w:tmpl w:val="20EC46BC"/>
    <w:lvl w:ilvl="0" w:tplc="0409000F">
      <w:start w:val="1"/>
      <w:numFmt w:val="decimal"/>
      <w:lvlText w:val="%1."/>
      <w:lvlJc w:val="left"/>
      <w:pPr>
        <w:ind w:left="720" w:hanging="360"/>
      </w:pPr>
    </w:lvl>
    <w:lvl w:ilvl="1" w:tplc="1D909BD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581403778">
    <w:abstractNumId w:val="3"/>
  </w:num>
  <w:num w:numId="2" w16cid:durableId="868763491">
    <w:abstractNumId w:val="6"/>
  </w:num>
  <w:num w:numId="3" w16cid:durableId="904990372">
    <w:abstractNumId w:val="5"/>
  </w:num>
  <w:num w:numId="4" w16cid:durableId="95029130">
    <w:abstractNumId w:val="7"/>
    <w:lvlOverride w:ilvl="0">
      <w:startOverride w:val="1"/>
    </w:lvlOverride>
  </w:num>
  <w:num w:numId="5" w16cid:durableId="2088845258">
    <w:abstractNumId w:val="7"/>
    <w:lvlOverride w:ilvl="0">
      <w:startOverride w:val="1"/>
    </w:lvlOverride>
  </w:num>
  <w:num w:numId="6" w16cid:durableId="1951207657">
    <w:abstractNumId w:val="7"/>
  </w:num>
  <w:num w:numId="7" w16cid:durableId="1852798893">
    <w:abstractNumId w:val="1"/>
  </w:num>
  <w:num w:numId="8" w16cid:durableId="1271552837">
    <w:abstractNumId w:val="0"/>
  </w:num>
  <w:num w:numId="9" w16cid:durableId="194924218">
    <w:abstractNumId w:val="7"/>
  </w:num>
  <w:num w:numId="10" w16cid:durableId="90321944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122"/>
    <w:rsid w:val="00003D7C"/>
    <w:rsid w:val="000041E2"/>
    <w:rsid w:val="00014140"/>
    <w:rsid w:val="00027428"/>
    <w:rsid w:val="00031EC9"/>
    <w:rsid w:val="00066FED"/>
    <w:rsid w:val="00070094"/>
    <w:rsid w:val="00075EA6"/>
    <w:rsid w:val="0007709F"/>
    <w:rsid w:val="00085CFB"/>
    <w:rsid w:val="00086F62"/>
    <w:rsid w:val="00090674"/>
    <w:rsid w:val="0009320B"/>
    <w:rsid w:val="00096AE0"/>
    <w:rsid w:val="000B1B74"/>
    <w:rsid w:val="000B3A2D"/>
    <w:rsid w:val="000B3EB7"/>
    <w:rsid w:val="000B49C0"/>
    <w:rsid w:val="000E2CDB"/>
    <w:rsid w:val="000E2DC0"/>
    <w:rsid w:val="000E382F"/>
    <w:rsid w:val="000E75CD"/>
    <w:rsid w:val="001036BA"/>
    <w:rsid w:val="001146DC"/>
    <w:rsid w:val="00114AB1"/>
    <w:rsid w:val="0012263A"/>
    <w:rsid w:val="001230FF"/>
    <w:rsid w:val="001258D2"/>
    <w:rsid w:val="00130BD7"/>
    <w:rsid w:val="00140327"/>
    <w:rsid w:val="001409E0"/>
    <w:rsid w:val="00155B67"/>
    <w:rsid w:val="001562AF"/>
    <w:rsid w:val="00161A5B"/>
    <w:rsid w:val="0016385D"/>
    <w:rsid w:val="0016782F"/>
    <w:rsid w:val="00171BEF"/>
    <w:rsid w:val="00190546"/>
    <w:rsid w:val="001937E9"/>
    <w:rsid w:val="001964E5"/>
    <w:rsid w:val="00197B7C"/>
    <w:rsid w:val="001A636E"/>
    <w:rsid w:val="001A7555"/>
    <w:rsid w:val="001B263B"/>
    <w:rsid w:val="001B476A"/>
    <w:rsid w:val="001B6C93"/>
    <w:rsid w:val="001C2F70"/>
    <w:rsid w:val="001C764F"/>
    <w:rsid w:val="001C7BB3"/>
    <w:rsid w:val="001D469C"/>
    <w:rsid w:val="00214DFD"/>
    <w:rsid w:val="0021619E"/>
    <w:rsid w:val="00216992"/>
    <w:rsid w:val="00220CC5"/>
    <w:rsid w:val="0023171B"/>
    <w:rsid w:val="00236BFC"/>
    <w:rsid w:val="00237437"/>
    <w:rsid w:val="00237F49"/>
    <w:rsid w:val="002502FD"/>
    <w:rsid w:val="00274622"/>
    <w:rsid w:val="00285A67"/>
    <w:rsid w:val="00285D24"/>
    <w:rsid w:val="00290390"/>
    <w:rsid w:val="002915D3"/>
    <w:rsid w:val="002924DB"/>
    <w:rsid w:val="002941DA"/>
    <w:rsid w:val="002B430C"/>
    <w:rsid w:val="002B5648"/>
    <w:rsid w:val="002B615D"/>
    <w:rsid w:val="002D008D"/>
    <w:rsid w:val="002E021F"/>
    <w:rsid w:val="002E1C2D"/>
    <w:rsid w:val="002E3C35"/>
    <w:rsid w:val="002F2D56"/>
    <w:rsid w:val="002F5298"/>
    <w:rsid w:val="00304633"/>
    <w:rsid w:val="00326AE0"/>
    <w:rsid w:val="00327DD2"/>
    <w:rsid w:val="00337E4F"/>
    <w:rsid w:val="003403EB"/>
    <w:rsid w:val="00340C36"/>
    <w:rsid w:val="00346A9D"/>
    <w:rsid w:val="00385160"/>
    <w:rsid w:val="0039360C"/>
    <w:rsid w:val="0039376F"/>
    <w:rsid w:val="003A287B"/>
    <w:rsid w:val="003A38EA"/>
    <w:rsid w:val="003A5C85"/>
    <w:rsid w:val="003A61B1"/>
    <w:rsid w:val="003A714D"/>
    <w:rsid w:val="003B0050"/>
    <w:rsid w:val="003C2C74"/>
    <w:rsid w:val="003D1800"/>
    <w:rsid w:val="003D6312"/>
    <w:rsid w:val="003E423F"/>
    <w:rsid w:val="003E7C74"/>
    <w:rsid w:val="003F31C6"/>
    <w:rsid w:val="0040225B"/>
    <w:rsid w:val="00402A5F"/>
    <w:rsid w:val="00402DA2"/>
    <w:rsid w:val="00406C5E"/>
    <w:rsid w:val="004107FD"/>
    <w:rsid w:val="00425AC2"/>
    <w:rsid w:val="00435D01"/>
    <w:rsid w:val="0044771F"/>
    <w:rsid w:val="00461B67"/>
    <w:rsid w:val="00475000"/>
    <w:rsid w:val="004B151D"/>
    <w:rsid w:val="004B2D86"/>
    <w:rsid w:val="004B2F67"/>
    <w:rsid w:val="004B4C81"/>
    <w:rsid w:val="004C7243"/>
    <w:rsid w:val="004C7E0E"/>
    <w:rsid w:val="004D33A1"/>
    <w:rsid w:val="004D7AEB"/>
    <w:rsid w:val="004E13DE"/>
    <w:rsid w:val="004E1C6F"/>
    <w:rsid w:val="004E21DE"/>
    <w:rsid w:val="004E3C57"/>
    <w:rsid w:val="004E3CB2"/>
    <w:rsid w:val="00524872"/>
    <w:rsid w:val="00525813"/>
    <w:rsid w:val="0053513F"/>
    <w:rsid w:val="00545BF9"/>
    <w:rsid w:val="00574405"/>
    <w:rsid w:val="0058273D"/>
    <w:rsid w:val="005854B0"/>
    <w:rsid w:val="005A0E21"/>
    <w:rsid w:val="005B3A34"/>
    <w:rsid w:val="005D49AF"/>
    <w:rsid w:val="005E415C"/>
    <w:rsid w:val="005E71ED"/>
    <w:rsid w:val="005E7946"/>
    <w:rsid w:val="005F3BE1"/>
    <w:rsid w:val="005F4127"/>
    <w:rsid w:val="005F7475"/>
    <w:rsid w:val="00611299"/>
    <w:rsid w:val="00613B4D"/>
    <w:rsid w:val="006151F8"/>
    <w:rsid w:val="00616365"/>
    <w:rsid w:val="00616F3B"/>
    <w:rsid w:val="006225AF"/>
    <w:rsid w:val="006249A7"/>
    <w:rsid w:val="006366A3"/>
    <w:rsid w:val="0064225B"/>
    <w:rsid w:val="00655D46"/>
    <w:rsid w:val="00656625"/>
    <w:rsid w:val="006763F9"/>
    <w:rsid w:val="00691330"/>
    <w:rsid w:val="006949BC"/>
    <w:rsid w:val="006A627B"/>
    <w:rsid w:val="006B4A0C"/>
    <w:rsid w:val="006B698C"/>
    <w:rsid w:val="006D1229"/>
    <w:rsid w:val="006D372F"/>
    <w:rsid w:val="006D6272"/>
    <w:rsid w:val="006D7A18"/>
    <w:rsid w:val="006E4474"/>
    <w:rsid w:val="00701388"/>
    <w:rsid w:val="00701C3D"/>
    <w:rsid w:val="00704B0E"/>
    <w:rsid w:val="00723B7F"/>
    <w:rsid w:val="00725861"/>
    <w:rsid w:val="0073393A"/>
    <w:rsid w:val="0073539D"/>
    <w:rsid w:val="0074130D"/>
    <w:rsid w:val="00767B8A"/>
    <w:rsid w:val="00775481"/>
    <w:rsid w:val="00775B26"/>
    <w:rsid w:val="007845A5"/>
    <w:rsid w:val="0078486F"/>
    <w:rsid w:val="0079627B"/>
    <w:rsid w:val="007A233B"/>
    <w:rsid w:val="007B4863"/>
    <w:rsid w:val="007C1785"/>
    <w:rsid w:val="007C50B3"/>
    <w:rsid w:val="007C65E6"/>
    <w:rsid w:val="007D3D92"/>
    <w:rsid w:val="007D406B"/>
    <w:rsid w:val="007D4407"/>
    <w:rsid w:val="007D5DA0"/>
    <w:rsid w:val="007E1CA3"/>
    <w:rsid w:val="007E3D5D"/>
    <w:rsid w:val="008010AD"/>
    <w:rsid w:val="00812D62"/>
    <w:rsid w:val="00812F29"/>
    <w:rsid w:val="00817186"/>
    <w:rsid w:val="00821713"/>
    <w:rsid w:val="00827050"/>
    <w:rsid w:val="0083278B"/>
    <w:rsid w:val="00834538"/>
    <w:rsid w:val="00850E89"/>
    <w:rsid w:val="008562F2"/>
    <w:rsid w:val="00865DF2"/>
    <w:rsid w:val="0087284F"/>
    <w:rsid w:val="00891AA1"/>
    <w:rsid w:val="008930E4"/>
    <w:rsid w:val="00893821"/>
    <w:rsid w:val="008A7B9C"/>
    <w:rsid w:val="008B0136"/>
    <w:rsid w:val="008B39FA"/>
    <w:rsid w:val="008B4754"/>
    <w:rsid w:val="008C401D"/>
    <w:rsid w:val="008E2C35"/>
    <w:rsid w:val="008E6A7A"/>
    <w:rsid w:val="008F1038"/>
    <w:rsid w:val="008F7046"/>
    <w:rsid w:val="008F7702"/>
    <w:rsid w:val="009005FC"/>
    <w:rsid w:val="00914E3D"/>
    <w:rsid w:val="00922E5A"/>
    <w:rsid w:val="00930E94"/>
    <w:rsid w:val="00943315"/>
    <w:rsid w:val="00946C27"/>
    <w:rsid w:val="0096107E"/>
    <w:rsid w:val="00963E65"/>
    <w:rsid w:val="009A4F3D"/>
    <w:rsid w:val="009B02E4"/>
    <w:rsid w:val="009B52FF"/>
    <w:rsid w:val="009B696B"/>
    <w:rsid w:val="009B7671"/>
    <w:rsid w:val="009C3171"/>
    <w:rsid w:val="009C78E0"/>
    <w:rsid w:val="009D7AD6"/>
    <w:rsid w:val="009E32E9"/>
    <w:rsid w:val="009E59AD"/>
    <w:rsid w:val="009E5BA1"/>
    <w:rsid w:val="009F056E"/>
    <w:rsid w:val="00A056F3"/>
    <w:rsid w:val="00A24F3D"/>
    <w:rsid w:val="00A26DCD"/>
    <w:rsid w:val="00A314BB"/>
    <w:rsid w:val="00A32B7D"/>
    <w:rsid w:val="00A354A9"/>
    <w:rsid w:val="00A5596B"/>
    <w:rsid w:val="00A57E26"/>
    <w:rsid w:val="00A646B3"/>
    <w:rsid w:val="00A6739B"/>
    <w:rsid w:val="00A83A6F"/>
    <w:rsid w:val="00A90413"/>
    <w:rsid w:val="00A94BE1"/>
    <w:rsid w:val="00AA27D0"/>
    <w:rsid w:val="00AA49D6"/>
    <w:rsid w:val="00AA51BD"/>
    <w:rsid w:val="00AA728C"/>
    <w:rsid w:val="00AB086A"/>
    <w:rsid w:val="00AB0A9C"/>
    <w:rsid w:val="00AB2E9D"/>
    <w:rsid w:val="00AB3EA5"/>
    <w:rsid w:val="00AB7119"/>
    <w:rsid w:val="00AC0154"/>
    <w:rsid w:val="00AD5855"/>
    <w:rsid w:val="00AE426E"/>
    <w:rsid w:val="00AE7500"/>
    <w:rsid w:val="00AE7F87"/>
    <w:rsid w:val="00AF3542"/>
    <w:rsid w:val="00AF4DD3"/>
    <w:rsid w:val="00AF5ABE"/>
    <w:rsid w:val="00B00415"/>
    <w:rsid w:val="00B03C2A"/>
    <w:rsid w:val="00B1000D"/>
    <w:rsid w:val="00B10134"/>
    <w:rsid w:val="00B16BFE"/>
    <w:rsid w:val="00B500E5"/>
    <w:rsid w:val="00B57C0C"/>
    <w:rsid w:val="00B75F3A"/>
    <w:rsid w:val="00B76F75"/>
    <w:rsid w:val="00BA09ED"/>
    <w:rsid w:val="00BA2221"/>
    <w:rsid w:val="00BA39BB"/>
    <w:rsid w:val="00BA3B3D"/>
    <w:rsid w:val="00BB7EEA"/>
    <w:rsid w:val="00BD1909"/>
    <w:rsid w:val="00BE5E16"/>
    <w:rsid w:val="00BE5FD1"/>
    <w:rsid w:val="00BE6EE9"/>
    <w:rsid w:val="00BF7A6B"/>
    <w:rsid w:val="00C03CFD"/>
    <w:rsid w:val="00C06E05"/>
    <w:rsid w:val="00C14B14"/>
    <w:rsid w:val="00C164C6"/>
    <w:rsid w:val="00C16E86"/>
    <w:rsid w:val="00C17370"/>
    <w:rsid w:val="00C2054D"/>
    <w:rsid w:val="00C252EB"/>
    <w:rsid w:val="00C26EC0"/>
    <w:rsid w:val="00C56C77"/>
    <w:rsid w:val="00C64C59"/>
    <w:rsid w:val="00C752B6"/>
    <w:rsid w:val="00C84923"/>
    <w:rsid w:val="00C87178"/>
    <w:rsid w:val="00CB7B3E"/>
    <w:rsid w:val="00CC58B8"/>
    <w:rsid w:val="00CC739D"/>
    <w:rsid w:val="00D04468"/>
    <w:rsid w:val="00D327FB"/>
    <w:rsid w:val="00D33E0E"/>
    <w:rsid w:val="00D36257"/>
    <w:rsid w:val="00D4687E"/>
    <w:rsid w:val="00D53A12"/>
    <w:rsid w:val="00D7042A"/>
    <w:rsid w:val="00D837AB"/>
    <w:rsid w:val="00D87E2A"/>
    <w:rsid w:val="00DB0C43"/>
    <w:rsid w:val="00DE3354"/>
    <w:rsid w:val="00DF7DCD"/>
    <w:rsid w:val="00E103D9"/>
    <w:rsid w:val="00E13C94"/>
    <w:rsid w:val="00E15830"/>
    <w:rsid w:val="00E50B7D"/>
    <w:rsid w:val="00E52B9E"/>
    <w:rsid w:val="00E904A1"/>
    <w:rsid w:val="00E95A66"/>
    <w:rsid w:val="00EB3BC7"/>
    <w:rsid w:val="00EB7D28"/>
    <w:rsid w:val="00EC0D0C"/>
    <w:rsid w:val="00ED4A2C"/>
    <w:rsid w:val="00EF6940"/>
    <w:rsid w:val="00F11DD3"/>
    <w:rsid w:val="00F166B9"/>
    <w:rsid w:val="00F2044A"/>
    <w:rsid w:val="00F20BFC"/>
    <w:rsid w:val="00F245A3"/>
    <w:rsid w:val="00F24D5F"/>
    <w:rsid w:val="00F46500"/>
    <w:rsid w:val="00F52729"/>
    <w:rsid w:val="00F71FF5"/>
    <w:rsid w:val="00F726C3"/>
    <w:rsid w:val="00F820CA"/>
    <w:rsid w:val="00F83FE2"/>
    <w:rsid w:val="00F8554C"/>
    <w:rsid w:val="00F95F82"/>
    <w:rsid w:val="00F97A90"/>
    <w:rsid w:val="00FA2230"/>
    <w:rsid w:val="00FC2F35"/>
    <w:rsid w:val="00FC3FD7"/>
    <w:rsid w:val="00FD1FC6"/>
    <w:rsid w:val="00FE5869"/>
    <w:rsid w:val="00FF5FC6"/>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7D5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9081">
      <w:bodyDiv w:val="1"/>
      <w:marLeft w:val="0"/>
      <w:marRight w:val="0"/>
      <w:marTop w:val="0"/>
      <w:marBottom w:val="0"/>
      <w:divBdr>
        <w:top w:val="none" w:sz="0" w:space="0" w:color="auto"/>
        <w:left w:val="none" w:sz="0" w:space="0" w:color="auto"/>
        <w:bottom w:val="none" w:sz="0" w:space="0" w:color="auto"/>
        <w:right w:val="none" w:sz="0" w:space="0" w:color="auto"/>
      </w:divBdr>
      <w:divsChild>
        <w:div w:id="913467251">
          <w:marLeft w:val="0"/>
          <w:marRight w:val="0"/>
          <w:marTop w:val="0"/>
          <w:marBottom w:val="0"/>
          <w:divBdr>
            <w:top w:val="none" w:sz="0" w:space="0" w:color="auto"/>
            <w:left w:val="none" w:sz="0" w:space="0" w:color="auto"/>
            <w:bottom w:val="none" w:sz="0" w:space="0" w:color="auto"/>
            <w:right w:val="none" w:sz="0" w:space="0" w:color="auto"/>
          </w:divBdr>
          <w:divsChild>
            <w:div w:id="977414952">
              <w:marLeft w:val="0"/>
              <w:marRight w:val="0"/>
              <w:marTop w:val="0"/>
              <w:marBottom w:val="0"/>
              <w:divBdr>
                <w:top w:val="none" w:sz="0" w:space="0" w:color="auto"/>
                <w:left w:val="none" w:sz="0" w:space="0" w:color="auto"/>
                <w:bottom w:val="none" w:sz="0" w:space="0" w:color="auto"/>
                <w:right w:val="none" w:sz="0" w:space="0" w:color="auto"/>
              </w:divBdr>
              <w:divsChild>
                <w:div w:id="18559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pisa/da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kismi@uny.ac.id" TargetMode="External"/><Relationship Id="rId4" Type="http://schemas.openxmlformats.org/officeDocument/2006/relationships/customXml" Target="../customXml/item4.xml"/><Relationship Id="rId9" Type="http://schemas.openxmlformats.org/officeDocument/2006/relationships/hyperlink" Target="mailto:ikasurtiani.2021@student.uny.ac.i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C:\Users\rlevins\Desktop\8x11WordTemplates\article_templates\single_column\8_point5_x11_single_column_template.dotx</Template>
  <TotalTime>1</TotalTime>
  <Pages>11</Pages>
  <Words>17421</Words>
  <Characters>99306</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Ika Surtiani</cp:lastModifiedBy>
  <cp:revision>2</cp:revision>
  <cp:lastPrinted>2022-09-30T13:46:00Z</cp:lastPrinted>
  <dcterms:created xsi:type="dcterms:W3CDTF">2022-10-14T20:01:00Z</dcterms:created>
  <dcterms:modified xsi:type="dcterms:W3CDTF">2022-10-14T20:01:00Z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http://www.zotero.org/styles/american-institute-of-physics</vt:lpwstr>
  </property>
  <property fmtid="{D5CDD505-2E9C-101B-9397-08002B2CF9AE}" pid="4" name="Mendeley Recent Style Name 0_1">
    <vt:lpwstr>American Institute of Physics</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http://www.zotero.org/styles/universitas-negeri-yogyakarta-program-pascasarjana</vt:lpwstr>
  </property>
  <property fmtid="{D5CDD505-2E9C-101B-9397-08002B2CF9AE}" pid="22" name="Mendeley Recent Style Name 9_1">
    <vt:lpwstr>Universitas Negeri Yogyakarta - Program Pascasarjana (Indonesian)</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014beb13-57aa-3d3a-bded-fdb88573a5b8</vt:lpwstr>
  </property>
</Properties>
</file>