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811" w14:textId="786FEDB0" w:rsidR="009A0487" w:rsidRPr="009C541F" w:rsidRDefault="00D955E0">
      <w:pPr>
        <w:pStyle w:val="Title"/>
      </w:pPr>
      <w:bookmarkStart w:id="0" w:name="_Hlk43981299"/>
      <w:r>
        <w:t>Application of multivariate regression analysis for assessing</w:t>
      </w:r>
      <w:r w:rsidR="007D3B6B">
        <w:t xml:space="preserve"> </w:t>
      </w:r>
      <w:r w:rsidR="00DA2D40">
        <w:t xml:space="preserve">the relationship </w:t>
      </w:r>
      <w:r w:rsidR="004E1237">
        <w:t>of students’ background</w:t>
      </w:r>
      <w:r w:rsidR="0021397B">
        <w:t>s</w:t>
      </w:r>
      <w:r w:rsidR="004E1237">
        <w:t xml:space="preserve"> to students’ achievements</w:t>
      </w:r>
      <w:r w:rsidR="00DA2D40">
        <w:t xml:space="preserve"> </w:t>
      </w:r>
    </w:p>
    <w:p w14:paraId="1C421D9D" w14:textId="4A169B0F" w:rsidR="009A0487" w:rsidRPr="000B4199" w:rsidRDefault="00DB10D6">
      <w:pPr>
        <w:pStyle w:val="Authors"/>
        <w:rPr>
          <w:vertAlign w:val="superscript"/>
        </w:rPr>
      </w:pPr>
      <w:r>
        <w:t>Kismiantini</w:t>
      </w:r>
      <w:r w:rsidR="000B4199">
        <w:rPr>
          <w:vertAlign w:val="superscript"/>
        </w:rPr>
        <w:t>1</w:t>
      </w:r>
      <w:r>
        <w:t xml:space="preserve">, </w:t>
      </w:r>
      <w:r w:rsidR="00BA683B">
        <w:t xml:space="preserve">E </w:t>
      </w:r>
      <w:r w:rsidR="00CB3731">
        <w:t>P</w:t>
      </w:r>
      <w:r w:rsidR="000B4199">
        <w:t xml:space="preserve"> </w:t>
      </w:r>
      <w:r w:rsidR="00CB3731">
        <w:t>Setiawan</w:t>
      </w:r>
      <w:r w:rsidR="000B4199">
        <w:rPr>
          <w:vertAlign w:val="superscript"/>
        </w:rPr>
        <w:t>1</w:t>
      </w:r>
      <w:r>
        <w:t>, A Setiawan</w:t>
      </w:r>
      <w:r w:rsidR="000B4199">
        <w:rPr>
          <w:vertAlign w:val="superscript"/>
        </w:rPr>
        <w:t>1</w:t>
      </w:r>
      <w:r w:rsidR="00B34A2A">
        <w:t xml:space="preserve"> and</w:t>
      </w:r>
      <w:r>
        <w:t xml:space="preserve"> H</w:t>
      </w:r>
      <w:r w:rsidR="00BA683B">
        <w:t xml:space="preserve"> </w:t>
      </w:r>
      <w:r>
        <w:t>Albarr</w:t>
      </w:r>
      <w:r w:rsidR="000B4199">
        <w:rPr>
          <w:vertAlign w:val="superscript"/>
        </w:rPr>
        <w:t>1</w:t>
      </w:r>
    </w:p>
    <w:p w14:paraId="2F76D4AC" w14:textId="5168797E" w:rsidR="009A0487" w:rsidRDefault="000B4199" w:rsidP="009D64E8">
      <w:pPr>
        <w:pStyle w:val="Addresses"/>
        <w:spacing w:after="0"/>
      </w:pPr>
      <w:r>
        <w:rPr>
          <w:vertAlign w:val="superscript"/>
        </w:rPr>
        <w:t>1</w:t>
      </w:r>
      <w:r w:rsidR="00DB10D6">
        <w:t xml:space="preserve">Department of </w:t>
      </w:r>
      <w:r w:rsidR="00B34A2A">
        <w:t>Statistic</w:t>
      </w:r>
      <w:r w:rsidR="00DB10D6">
        <w:t xml:space="preserve">s, </w:t>
      </w:r>
      <w:proofErr w:type="spellStart"/>
      <w:r w:rsidR="00B34A2A">
        <w:t>Universitas</w:t>
      </w:r>
      <w:proofErr w:type="spellEnd"/>
      <w:r w:rsidR="00B34A2A">
        <w:t xml:space="preserve"> Negeri </w:t>
      </w:r>
      <w:r w:rsidR="00DB10D6">
        <w:t xml:space="preserve">Yogyakarta, </w:t>
      </w:r>
      <w:proofErr w:type="spellStart"/>
      <w:r w:rsidR="00DB10D6">
        <w:t>Jl</w:t>
      </w:r>
      <w:proofErr w:type="spellEnd"/>
      <w:r w:rsidR="00DB10D6">
        <w:t xml:space="preserve"> Colombo No 1, </w:t>
      </w:r>
      <w:proofErr w:type="spellStart"/>
      <w:r w:rsidR="00DB10D6">
        <w:t>Karangmalang</w:t>
      </w:r>
      <w:proofErr w:type="spellEnd"/>
      <w:r w:rsidR="00DB10D6">
        <w:t xml:space="preserve">, Depok, </w:t>
      </w:r>
      <w:proofErr w:type="spellStart"/>
      <w:r w:rsidR="00DB10D6">
        <w:t>Sleman</w:t>
      </w:r>
      <w:proofErr w:type="spellEnd"/>
      <w:r w:rsidR="00DB10D6">
        <w:t>, Yogyakarta, Indonesia</w:t>
      </w:r>
    </w:p>
    <w:p w14:paraId="7CC99A6E" w14:textId="77777777" w:rsidR="00006EA6" w:rsidRDefault="00006EA6">
      <w:pPr>
        <w:pStyle w:val="E-mail"/>
      </w:pPr>
    </w:p>
    <w:p w14:paraId="5D3666E5" w14:textId="710D49EF" w:rsidR="009A0487" w:rsidRDefault="00DB10D6">
      <w:pPr>
        <w:pStyle w:val="E-mail"/>
      </w:pPr>
      <w:r>
        <w:t xml:space="preserve">E-mails : </w:t>
      </w:r>
      <w:hyperlink r:id="rId8" w:history="1">
        <w:r w:rsidR="000B4199" w:rsidRPr="00723152">
          <w:rPr>
            <w:rStyle w:val="Hyperlink"/>
          </w:rPr>
          <w:t>kismi@uny.ac.id</w:t>
        </w:r>
      </w:hyperlink>
      <w:r w:rsidR="000B4199">
        <w:t xml:space="preserve">; </w:t>
      </w:r>
      <w:hyperlink r:id="rId9" w:history="1">
        <w:r w:rsidR="008F76E5" w:rsidRPr="00655F55">
          <w:rPr>
            <w:rStyle w:val="Hyperlink"/>
          </w:rPr>
          <w:t>ezra.ps@uny.ac.id</w:t>
        </w:r>
      </w:hyperlink>
      <w:r w:rsidR="008F76E5">
        <w:t xml:space="preserve"> </w:t>
      </w:r>
    </w:p>
    <w:p w14:paraId="061C024C" w14:textId="215D37B3" w:rsidR="00EB48F4" w:rsidRPr="00AF571B" w:rsidRDefault="009A0487" w:rsidP="000F1D07">
      <w:pPr>
        <w:pStyle w:val="Abstract"/>
        <w:rPr>
          <w:color w:val="FF0000"/>
        </w:rPr>
      </w:pPr>
      <w:r>
        <w:rPr>
          <w:b/>
        </w:rPr>
        <w:t>Abstract</w:t>
      </w:r>
      <w:r>
        <w:t>.</w:t>
      </w:r>
      <w:r w:rsidR="00956630" w:rsidRPr="00956630">
        <w:t xml:space="preserve"> </w:t>
      </w:r>
      <w:r w:rsidR="00956630">
        <w:t>Mathematical skill</w:t>
      </w:r>
      <w:r w:rsidR="009C5219">
        <w:t>s are</w:t>
      </w:r>
      <w:r w:rsidR="00956630">
        <w:t xml:space="preserve"> one of the most important </w:t>
      </w:r>
      <w:r w:rsidR="009C5219">
        <w:t xml:space="preserve">abilities </w:t>
      </w:r>
      <w:r w:rsidR="00956630">
        <w:t xml:space="preserve">for students, especially </w:t>
      </w:r>
      <w:r w:rsidR="009C5219">
        <w:t>when</w:t>
      </w:r>
      <w:r w:rsidR="00956630">
        <w:t xml:space="preserve"> fac</w:t>
      </w:r>
      <w:r w:rsidR="00EB48F4">
        <w:t>ed with</w:t>
      </w:r>
      <w:r w:rsidR="00956630">
        <w:t xml:space="preserve"> the Industr</w:t>
      </w:r>
      <w:r w:rsidR="002835EB">
        <w:t>i</w:t>
      </w:r>
      <w:r w:rsidR="00956630">
        <w:t>al Revolution 4.0</w:t>
      </w:r>
      <w:r w:rsidR="009C5219">
        <w:t xml:space="preserve"> era as wells as </w:t>
      </w:r>
      <w:r w:rsidR="00EB48F4">
        <w:t>skills in</w:t>
      </w:r>
      <w:r w:rsidR="009C5219">
        <w:t xml:space="preserve"> science </w:t>
      </w:r>
      <w:r w:rsidR="005E7184">
        <w:t xml:space="preserve">and reading. </w:t>
      </w:r>
      <w:r w:rsidR="00956630">
        <w:t xml:space="preserve"> </w:t>
      </w:r>
      <w:r w:rsidR="00956630" w:rsidRPr="003B21EC">
        <w:t xml:space="preserve">This study aims to </w:t>
      </w:r>
      <w:r w:rsidR="00EB48F4">
        <w:t xml:space="preserve">examine the </w:t>
      </w:r>
      <w:r w:rsidR="00AF571B">
        <w:t xml:space="preserve">relationship of students’ </w:t>
      </w:r>
      <w:r w:rsidR="00EB48F4">
        <w:t>background</w:t>
      </w:r>
      <w:r w:rsidR="00004C30">
        <w:t>s</w:t>
      </w:r>
      <w:r w:rsidR="00EB48F4">
        <w:t xml:space="preserve"> on mathematics, science an</w:t>
      </w:r>
      <w:r w:rsidR="00956630" w:rsidRPr="003B21EC">
        <w:t>d</w:t>
      </w:r>
      <w:r w:rsidR="00EB48F4">
        <w:t xml:space="preserve"> reading </w:t>
      </w:r>
      <w:r w:rsidR="00956630" w:rsidRPr="003B21EC">
        <w:t>achievement</w:t>
      </w:r>
      <w:r w:rsidR="00EB48F4">
        <w:t xml:space="preserve"> using PISA 2018 Indonesia</w:t>
      </w:r>
      <w:r w:rsidR="00AF571B">
        <w:t xml:space="preserve"> for Daerah Istimewa Yogyakarta (DIY) Province</w:t>
      </w:r>
      <w:r w:rsidR="00EB48F4">
        <w:t xml:space="preserve">. </w:t>
      </w:r>
      <w:r w:rsidR="00AF571B">
        <w:t xml:space="preserve">The DIY province is known as </w:t>
      </w:r>
      <w:r w:rsidR="009730B1">
        <w:t xml:space="preserve">the </w:t>
      </w:r>
      <w:r w:rsidR="00AF571B">
        <w:t>home for</w:t>
      </w:r>
      <w:r w:rsidR="009730B1">
        <w:t xml:space="preserve"> a</w:t>
      </w:r>
      <w:r w:rsidR="00AF571B">
        <w:t xml:space="preserve"> large student population and many schools and universities. </w:t>
      </w:r>
      <w:r w:rsidR="00EB48F4">
        <w:t xml:space="preserve">The </w:t>
      </w:r>
      <w:r w:rsidR="00AF571B">
        <w:t>multivariate linear regression analy</w:t>
      </w:r>
      <w:r w:rsidR="009730B1">
        <w:t>s</w:t>
      </w:r>
      <w:r w:rsidR="00AF571B">
        <w:t xml:space="preserve">es </w:t>
      </w:r>
      <w:r w:rsidR="00EB48F4">
        <w:t>revealed that there was</w:t>
      </w:r>
      <w:r w:rsidR="005D0AE9">
        <w:t xml:space="preserve"> a statistically significant </w:t>
      </w:r>
      <w:r w:rsidR="00AF571B">
        <w:t>relationship between</w:t>
      </w:r>
      <w:r w:rsidR="005D0AE9">
        <w:t xml:space="preserve"> </w:t>
      </w:r>
      <w:r w:rsidR="00EB48F4">
        <w:t>gender and index of</w:t>
      </w:r>
      <w:r w:rsidR="0089000C">
        <w:t xml:space="preserve"> </w:t>
      </w:r>
      <w:r w:rsidR="00EB48F4">
        <w:t>economic</w:t>
      </w:r>
      <w:r w:rsidR="0089000C">
        <w:t xml:space="preserve">, </w:t>
      </w:r>
      <w:r w:rsidR="00EB48F4">
        <w:t xml:space="preserve">social and cultural status (ESCS) </w:t>
      </w:r>
      <w:r w:rsidR="005D0AE9">
        <w:t xml:space="preserve">on </w:t>
      </w:r>
      <w:r w:rsidR="00865F57">
        <w:t>mathematics, science and reading achievements</w:t>
      </w:r>
      <w:r w:rsidR="005D0AE9">
        <w:t xml:space="preserve">. </w:t>
      </w:r>
      <w:r w:rsidR="0032065C" w:rsidRPr="00865F57">
        <w:rPr>
          <w:color w:val="000000" w:themeColor="text1"/>
        </w:rPr>
        <w:t xml:space="preserve">The results of multiple </w:t>
      </w:r>
      <w:r w:rsidR="00865F57" w:rsidRPr="00865F57">
        <w:rPr>
          <w:color w:val="000000" w:themeColor="text1"/>
        </w:rPr>
        <w:t>linear regression</w:t>
      </w:r>
      <w:r w:rsidR="0032065C" w:rsidRPr="00865F57">
        <w:rPr>
          <w:color w:val="000000" w:themeColor="text1"/>
        </w:rPr>
        <w:t xml:space="preserve"> indicated that </w:t>
      </w:r>
      <w:r w:rsidR="00865F57" w:rsidRPr="00865F57">
        <w:rPr>
          <w:color w:val="000000" w:themeColor="text1"/>
        </w:rPr>
        <w:t>girls ha</w:t>
      </w:r>
      <w:r w:rsidR="009730B1">
        <w:rPr>
          <w:color w:val="000000" w:themeColor="text1"/>
        </w:rPr>
        <w:t>ve</w:t>
      </w:r>
      <w:r w:rsidR="00865F57" w:rsidRPr="00865F57">
        <w:rPr>
          <w:color w:val="000000" w:themeColor="text1"/>
        </w:rPr>
        <w:t xml:space="preserve"> higher score in m</w:t>
      </w:r>
      <w:r w:rsidR="0032065C" w:rsidRPr="00865F57">
        <w:rPr>
          <w:color w:val="000000" w:themeColor="text1"/>
        </w:rPr>
        <w:t>ath</w:t>
      </w:r>
      <w:r w:rsidR="00865F57" w:rsidRPr="00865F57">
        <w:rPr>
          <w:color w:val="000000" w:themeColor="text1"/>
        </w:rPr>
        <w:t xml:space="preserve">, science and reading scores than boys with the existing linear </w:t>
      </w:r>
      <w:r w:rsidR="009730B1">
        <w:rPr>
          <w:color w:val="000000" w:themeColor="text1"/>
        </w:rPr>
        <w:t xml:space="preserve">up </w:t>
      </w:r>
      <w:r w:rsidR="00865F57" w:rsidRPr="00865F57">
        <w:rPr>
          <w:color w:val="000000" w:themeColor="text1"/>
        </w:rPr>
        <w:t xml:space="preserve">trend for ESCS </w:t>
      </w:r>
      <w:r w:rsidR="009730B1">
        <w:rPr>
          <w:color w:val="000000" w:themeColor="text1"/>
        </w:rPr>
        <w:t>that</w:t>
      </w:r>
      <w:r w:rsidR="00865F57" w:rsidRPr="00865F57">
        <w:rPr>
          <w:color w:val="000000" w:themeColor="text1"/>
        </w:rPr>
        <w:t xml:space="preserve"> increase</w:t>
      </w:r>
      <w:r w:rsidR="009730B1">
        <w:rPr>
          <w:color w:val="000000" w:themeColor="text1"/>
        </w:rPr>
        <w:t>s their scores for achievements</w:t>
      </w:r>
      <w:r w:rsidR="00865F57" w:rsidRPr="00865F57">
        <w:rPr>
          <w:color w:val="000000" w:themeColor="text1"/>
        </w:rPr>
        <w:t xml:space="preserve">. </w:t>
      </w:r>
      <w:r w:rsidR="0032065C" w:rsidRPr="00865F57">
        <w:rPr>
          <w:color w:val="000000" w:themeColor="text1"/>
        </w:rPr>
        <w:t xml:space="preserve">  </w:t>
      </w:r>
    </w:p>
    <w:p w14:paraId="6F93AE32" w14:textId="004FD348" w:rsidR="009A0487" w:rsidRDefault="00205E1B">
      <w:pPr>
        <w:pStyle w:val="Section"/>
      </w:pPr>
      <w:r>
        <w:t>Introduction</w:t>
      </w:r>
    </w:p>
    <w:p w14:paraId="593D26DC" w14:textId="6DD21B05" w:rsidR="00B66774" w:rsidRPr="00B66774" w:rsidRDefault="00B66774" w:rsidP="00B66774">
      <w:pPr>
        <w:pStyle w:val="BodytextIndented"/>
        <w:ind w:firstLine="0"/>
        <w:rPr>
          <w:color w:val="auto"/>
        </w:rPr>
      </w:pPr>
      <w:r w:rsidRPr="00B66774">
        <w:rPr>
          <w:color w:val="auto"/>
        </w:rPr>
        <w:t xml:space="preserve">Industrial Revolution 4.0 marked fundamental changes in the second decade of the 21st century. The critical cause of these changes is rapid developments in technology: the Internet of Things (IoT), Artificial Intelligence (AR), and Big Data. Several competencies are needed to maintain the human role in this disruption era, e.g. mathematical competence, reading competence, science, problem-solving, and many more. </w:t>
      </w:r>
    </w:p>
    <w:p w14:paraId="1A08B079" w14:textId="07762501" w:rsidR="00B66774" w:rsidRPr="00B66774" w:rsidRDefault="00B66774" w:rsidP="00B66774">
      <w:pPr>
        <w:pStyle w:val="BodytextIndented"/>
        <w:rPr>
          <w:color w:val="auto"/>
        </w:rPr>
      </w:pPr>
      <w:r w:rsidRPr="00B66774">
        <w:rPr>
          <w:color w:val="auto"/>
        </w:rPr>
        <w:t>Mathematics is an essential competenc</w:t>
      </w:r>
      <w:r w:rsidR="00560D12">
        <w:rPr>
          <w:color w:val="auto"/>
        </w:rPr>
        <w:t xml:space="preserve">y </w:t>
      </w:r>
      <w:r w:rsidRPr="00B66774">
        <w:rPr>
          <w:color w:val="auto"/>
        </w:rPr>
        <w:t xml:space="preserve">needed to solve various </w:t>
      </w:r>
      <w:r w:rsidR="00560D12">
        <w:rPr>
          <w:color w:val="auto"/>
        </w:rPr>
        <w:t xml:space="preserve">daily </w:t>
      </w:r>
      <w:r w:rsidRPr="00B66774">
        <w:rPr>
          <w:color w:val="auto"/>
        </w:rPr>
        <w:t xml:space="preserve">problems and complex industrial situations. </w:t>
      </w:r>
      <w:r w:rsidR="002B06DC" w:rsidRPr="002B06DC">
        <w:rPr>
          <w:color w:val="auto"/>
        </w:rPr>
        <w:t>Science allows students to explore their world</w:t>
      </w:r>
      <w:r w:rsidR="002B06DC">
        <w:rPr>
          <w:color w:val="auto"/>
        </w:rPr>
        <w:t xml:space="preserve"> and</w:t>
      </w:r>
      <w:r w:rsidR="002B06DC" w:rsidRPr="002B06DC">
        <w:rPr>
          <w:color w:val="auto"/>
        </w:rPr>
        <w:t xml:space="preserve"> discover new things</w:t>
      </w:r>
      <w:r w:rsidR="002B06DC">
        <w:rPr>
          <w:color w:val="auto"/>
        </w:rPr>
        <w:t xml:space="preserve">, </w:t>
      </w:r>
      <w:r w:rsidR="00560D12">
        <w:rPr>
          <w:color w:val="auto"/>
        </w:rPr>
        <w:t>making</w:t>
      </w:r>
      <w:r w:rsidR="002B06DC">
        <w:rPr>
          <w:color w:val="auto"/>
        </w:rPr>
        <w:t xml:space="preserve"> it </w:t>
      </w:r>
      <w:r w:rsidR="002B06DC" w:rsidRPr="002B06DC">
        <w:rPr>
          <w:color w:val="auto"/>
        </w:rPr>
        <w:t xml:space="preserve">an important part of the foundation for </w:t>
      </w:r>
      <w:r w:rsidR="00560D12">
        <w:rPr>
          <w:color w:val="auto"/>
        </w:rPr>
        <w:t xml:space="preserve">all children’s </w:t>
      </w:r>
      <w:r w:rsidR="002B06DC" w:rsidRPr="002B06DC">
        <w:rPr>
          <w:color w:val="auto"/>
        </w:rPr>
        <w:t xml:space="preserve">education </w:t>
      </w:r>
      <w:r w:rsidR="002B06DC">
        <w:rPr>
          <w:color w:val="auto"/>
        </w:rPr>
        <w:t>[1]</w:t>
      </w:r>
      <w:r w:rsidR="002B06DC" w:rsidRPr="002B06DC">
        <w:rPr>
          <w:color w:val="auto"/>
        </w:rPr>
        <w:t xml:space="preserve">. </w:t>
      </w:r>
      <w:r w:rsidR="00560D12">
        <w:rPr>
          <w:color w:val="auto"/>
        </w:rPr>
        <w:t>In addition to</w:t>
      </w:r>
      <w:r w:rsidRPr="00B66774">
        <w:rPr>
          <w:color w:val="auto"/>
        </w:rPr>
        <w:t xml:space="preserve"> reading </w:t>
      </w:r>
      <w:r w:rsidR="00560D12">
        <w:rPr>
          <w:color w:val="auto"/>
        </w:rPr>
        <w:t>skills</w:t>
      </w:r>
      <w:r w:rsidRPr="00B66774">
        <w:rPr>
          <w:color w:val="auto"/>
        </w:rPr>
        <w:t>, mathematic</w:t>
      </w:r>
      <w:r w:rsidR="00535BD8">
        <w:rPr>
          <w:color w:val="auto"/>
        </w:rPr>
        <w:t>s and science</w:t>
      </w:r>
      <w:r w:rsidRPr="00B66774">
        <w:rPr>
          <w:color w:val="auto"/>
        </w:rPr>
        <w:t xml:space="preserve"> ability </w:t>
      </w:r>
      <w:r w:rsidR="00535BD8">
        <w:rPr>
          <w:color w:val="auto"/>
        </w:rPr>
        <w:t>are</w:t>
      </w:r>
      <w:r w:rsidRPr="00B66774">
        <w:rPr>
          <w:color w:val="auto"/>
        </w:rPr>
        <w:t xml:space="preserve"> evaluated through an international test known as the </w:t>
      </w:r>
      <w:proofErr w:type="spellStart"/>
      <w:r w:rsidRPr="00B66774">
        <w:rPr>
          <w:color w:val="auto"/>
        </w:rPr>
        <w:t>Programme</w:t>
      </w:r>
      <w:proofErr w:type="spellEnd"/>
      <w:r w:rsidRPr="00B66774">
        <w:rPr>
          <w:color w:val="auto"/>
        </w:rPr>
        <w:t xml:space="preserve"> for International Student Assessment (PISA). This test is held once </w:t>
      </w:r>
      <w:r w:rsidR="00892AA1">
        <w:rPr>
          <w:color w:val="auto"/>
        </w:rPr>
        <w:t>every</w:t>
      </w:r>
      <w:r w:rsidRPr="00B66774">
        <w:rPr>
          <w:color w:val="auto"/>
        </w:rPr>
        <w:t xml:space="preserve"> three years</w:t>
      </w:r>
      <w:r w:rsidR="006115B6">
        <w:rPr>
          <w:color w:val="auto"/>
        </w:rPr>
        <w:t xml:space="preserve"> by the Organization of Economic Cooperation and Development (OECD)</w:t>
      </w:r>
      <w:r w:rsidRPr="00B66774">
        <w:rPr>
          <w:color w:val="auto"/>
        </w:rPr>
        <w:t xml:space="preserve">, with a focus on the one </w:t>
      </w:r>
      <w:r w:rsidR="00560D12">
        <w:rPr>
          <w:color w:val="auto"/>
        </w:rPr>
        <w:t>of</w:t>
      </w:r>
      <w:r w:rsidRPr="00B66774">
        <w:rPr>
          <w:color w:val="auto"/>
        </w:rPr>
        <w:t xml:space="preserve"> three competences.  Apart from the examination, </w:t>
      </w:r>
      <w:r w:rsidR="00560D12">
        <w:rPr>
          <w:color w:val="auto"/>
        </w:rPr>
        <w:t xml:space="preserve">the </w:t>
      </w:r>
      <w:r w:rsidRPr="00B66774">
        <w:rPr>
          <w:color w:val="auto"/>
        </w:rPr>
        <w:t xml:space="preserve">students also fulfill several questionnaires related to their family, daily routine, </w:t>
      </w:r>
      <w:r w:rsidR="00892AA1">
        <w:rPr>
          <w:color w:val="auto"/>
        </w:rPr>
        <w:t>house</w:t>
      </w:r>
      <w:r w:rsidR="00560D12">
        <w:rPr>
          <w:color w:val="auto"/>
        </w:rPr>
        <w:t>hold</w:t>
      </w:r>
      <w:r w:rsidR="00892AA1">
        <w:rPr>
          <w:color w:val="auto"/>
        </w:rPr>
        <w:t>, experiences</w:t>
      </w:r>
      <w:r w:rsidRPr="00B66774">
        <w:rPr>
          <w:color w:val="auto"/>
        </w:rPr>
        <w:t xml:space="preserve"> and other</w:t>
      </w:r>
      <w:r w:rsidR="00560D12">
        <w:rPr>
          <w:color w:val="auto"/>
        </w:rPr>
        <w:t>s</w:t>
      </w:r>
      <w:r w:rsidRPr="00B66774">
        <w:rPr>
          <w:color w:val="auto"/>
        </w:rPr>
        <w:t xml:space="preserve"> </w:t>
      </w:r>
      <w:r w:rsidR="00DC1391">
        <w:rPr>
          <w:color w:val="auto"/>
        </w:rPr>
        <w:t>[</w:t>
      </w:r>
      <w:r w:rsidR="00535BD8">
        <w:rPr>
          <w:color w:val="auto"/>
        </w:rPr>
        <w:t>2</w:t>
      </w:r>
      <w:r w:rsidR="00DC1391">
        <w:rPr>
          <w:color w:val="auto"/>
        </w:rPr>
        <w:t>]</w:t>
      </w:r>
      <w:r w:rsidRPr="00B66774">
        <w:rPr>
          <w:color w:val="auto"/>
        </w:rPr>
        <w:t>.</w:t>
      </w:r>
    </w:p>
    <w:p w14:paraId="5A66D0AC" w14:textId="28A29850" w:rsidR="00B66774" w:rsidRPr="00B66774" w:rsidRDefault="00B66774" w:rsidP="00B66774">
      <w:pPr>
        <w:pStyle w:val="BodytextIndented"/>
        <w:rPr>
          <w:color w:val="auto"/>
        </w:rPr>
      </w:pPr>
      <w:r w:rsidRPr="00B66774">
        <w:rPr>
          <w:color w:val="auto"/>
        </w:rPr>
        <w:t>Several</w:t>
      </w:r>
      <w:r w:rsidR="00394343">
        <w:rPr>
          <w:color w:val="auto"/>
        </w:rPr>
        <w:t xml:space="preserve"> PISA</w:t>
      </w:r>
      <w:r w:rsidRPr="00B66774">
        <w:rPr>
          <w:color w:val="auto"/>
        </w:rPr>
        <w:t xml:space="preserve"> studies</w:t>
      </w:r>
      <w:r w:rsidR="00394343">
        <w:rPr>
          <w:color w:val="auto"/>
        </w:rPr>
        <w:t xml:space="preserve"> have been performed in Indonesia and other</w:t>
      </w:r>
      <w:r w:rsidR="001D3213">
        <w:rPr>
          <w:color w:val="auto"/>
        </w:rPr>
        <w:t xml:space="preserve"> countries</w:t>
      </w:r>
      <w:r w:rsidR="009B678B">
        <w:rPr>
          <w:color w:val="auto"/>
        </w:rPr>
        <w:t xml:space="preserve">, especially related </w:t>
      </w:r>
      <w:r w:rsidR="00394343">
        <w:rPr>
          <w:color w:val="auto"/>
        </w:rPr>
        <w:t xml:space="preserve">to </w:t>
      </w:r>
      <w:r w:rsidR="009B678B">
        <w:rPr>
          <w:color w:val="auto"/>
        </w:rPr>
        <w:t xml:space="preserve">mathematics and science </w:t>
      </w:r>
      <w:r w:rsidR="00394343">
        <w:rPr>
          <w:color w:val="auto"/>
        </w:rPr>
        <w:t>skills</w:t>
      </w:r>
      <w:r w:rsidRPr="00B66774">
        <w:rPr>
          <w:color w:val="auto"/>
        </w:rPr>
        <w:t xml:space="preserve">. </w:t>
      </w:r>
      <w:proofErr w:type="spellStart"/>
      <w:r w:rsidRPr="00B66774">
        <w:rPr>
          <w:color w:val="auto"/>
        </w:rPr>
        <w:t>Karakolidis</w:t>
      </w:r>
      <w:proofErr w:type="spellEnd"/>
      <w:r w:rsidRPr="00B66774">
        <w:rPr>
          <w:color w:val="auto"/>
        </w:rPr>
        <w:t xml:space="preserve"> </w:t>
      </w:r>
      <w:r w:rsidRPr="00B66774">
        <w:rPr>
          <w:i/>
          <w:color w:val="auto"/>
        </w:rPr>
        <w:t>et al</w:t>
      </w:r>
      <w:r w:rsidRPr="00B66774">
        <w:rPr>
          <w:color w:val="auto"/>
        </w:rPr>
        <w:t>. [</w:t>
      </w:r>
      <w:r w:rsidR="00B742CB">
        <w:rPr>
          <w:color w:val="auto"/>
        </w:rPr>
        <w:t>3</w:t>
      </w:r>
      <w:r w:rsidRPr="00B66774">
        <w:rPr>
          <w:color w:val="auto"/>
        </w:rPr>
        <w:t xml:space="preserve">] used binary multilevel modeling to analyze factors </w:t>
      </w:r>
      <w:r w:rsidR="00394343">
        <w:rPr>
          <w:color w:val="auto"/>
        </w:rPr>
        <w:t>affecting</w:t>
      </w:r>
      <w:r w:rsidRPr="00B66774">
        <w:rPr>
          <w:color w:val="auto"/>
        </w:rPr>
        <w:t xml:space="preserve"> the achievement of low mathematics at PISA 2012, and factors </w:t>
      </w:r>
      <w:r w:rsidR="00394343">
        <w:rPr>
          <w:color w:val="auto"/>
        </w:rPr>
        <w:t>differentiating</w:t>
      </w:r>
      <w:r w:rsidRPr="00B66774">
        <w:rPr>
          <w:color w:val="auto"/>
        </w:rPr>
        <w:t xml:space="preserve"> students </w:t>
      </w:r>
      <w:r w:rsidR="00394343">
        <w:rPr>
          <w:color w:val="auto"/>
        </w:rPr>
        <w:t>who</w:t>
      </w:r>
      <w:r w:rsidRPr="00B66774">
        <w:rPr>
          <w:color w:val="auto"/>
        </w:rPr>
        <w:t xml:space="preserve"> achieve high to low </w:t>
      </w:r>
      <w:r w:rsidR="00394343">
        <w:rPr>
          <w:color w:val="auto"/>
        </w:rPr>
        <w:t>scores</w:t>
      </w:r>
      <w:r w:rsidRPr="00B66774">
        <w:rPr>
          <w:color w:val="auto"/>
        </w:rPr>
        <w:t xml:space="preserve">. </w:t>
      </w:r>
      <w:proofErr w:type="spellStart"/>
      <w:r w:rsidRPr="00B66774">
        <w:rPr>
          <w:color w:val="auto"/>
        </w:rPr>
        <w:t>Perera</w:t>
      </w:r>
      <w:proofErr w:type="spellEnd"/>
      <w:r w:rsidRPr="00B66774">
        <w:rPr>
          <w:color w:val="auto"/>
        </w:rPr>
        <w:t xml:space="preserve"> [</w:t>
      </w:r>
      <w:r w:rsidR="00B742CB">
        <w:rPr>
          <w:color w:val="auto"/>
        </w:rPr>
        <w:t>4</w:t>
      </w:r>
      <w:r w:rsidRPr="00B66774">
        <w:rPr>
          <w:color w:val="auto"/>
        </w:rPr>
        <w:t>] stud</w:t>
      </w:r>
      <w:r w:rsidR="00394343">
        <w:rPr>
          <w:color w:val="auto"/>
        </w:rPr>
        <w:t>ied</w:t>
      </w:r>
      <w:r w:rsidRPr="00B66774">
        <w:rPr>
          <w:color w:val="auto"/>
        </w:rPr>
        <w:t xml:space="preserve"> the influence </w:t>
      </w:r>
      <w:r w:rsidR="001D3213">
        <w:rPr>
          <w:color w:val="auto"/>
        </w:rPr>
        <w:t xml:space="preserve">of </w:t>
      </w:r>
      <w:r w:rsidRPr="00B66774">
        <w:rPr>
          <w:color w:val="auto"/>
        </w:rPr>
        <w:t>parents</w:t>
      </w:r>
      <w:r w:rsidR="00394343">
        <w:rPr>
          <w:color w:val="auto"/>
        </w:rPr>
        <w:t xml:space="preserve">’ </w:t>
      </w:r>
      <w:r w:rsidRPr="00B66774">
        <w:rPr>
          <w:color w:val="auto"/>
        </w:rPr>
        <w:t xml:space="preserve">factor on students' performance of the PISA test in the science field. Sun </w:t>
      </w:r>
      <w:r w:rsidRPr="00DC1391">
        <w:rPr>
          <w:i/>
          <w:color w:val="auto"/>
        </w:rPr>
        <w:t>et al</w:t>
      </w:r>
      <w:r w:rsidRPr="00B66774">
        <w:rPr>
          <w:color w:val="auto"/>
        </w:rPr>
        <w:t>. [</w:t>
      </w:r>
      <w:r w:rsidR="00B742CB">
        <w:rPr>
          <w:color w:val="auto"/>
        </w:rPr>
        <w:t>5</w:t>
      </w:r>
      <w:r w:rsidRPr="00B66774">
        <w:rPr>
          <w:color w:val="auto"/>
        </w:rPr>
        <w:t>] use</w:t>
      </w:r>
      <w:r w:rsidR="00394343">
        <w:rPr>
          <w:color w:val="auto"/>
        </w:rPr>
        <w:t>d</w:t>
      </w:r>
      <w:r w:rsidRPr="00B66774">
        <w:rPr>
          <w:color w:val="auto"/>
        </w:rPr>
        <w:t xml:space="preserve"> multilevel analysis to determine factors </w:t>
      </w:r>
      <w:r w:rsidR="00394343">
        <w:rPr>
          <w:color w:val="auto"/>
        </w:rPr>
        <w:t>affecting</w:t>
      </w:r>
      <w:r w:rsidRPr="00B66774">
        <w:rPr>
          <w:color w:val="auto"/>
        </w:rPr>
        <w:t xml:space="preserve"> the</w:t>
      </w:r>
      <w:r w:rsidR="00394343">
        <w:rPr>
          <w:color w:val="auto"/>
        </w:rPr>
        <w:t xml:space="preserve"> science</w:t>
      </w:r>
      <w:r w:rsidRPr="00B66774">
        <w:rPr>
          <w:color w:val="auto"/>
        </w:rPr>
        <w:t xml:space="preserve"> achievement of high school students in Hong Kong </w:t>
      </w:r>
      <w:r w:rsidR="00C565EE">
        <w:rPr>
          <w:color w:val="auto"/>
        </w:rPr>
        <w:t xml:space="preserve">using data from </w:t>
      </w:r>
      <w:r w:rsidRPr="00B66774">
        <w:rPr>
          <w:color w:val="auto"/>
        </w:rPr>
        <w:t xml:space="preserve">PISA </w:t>
      </w:r>
      <w:r w:rsidR="00C565EE">
        <w:rPr>
          <w:color w:val="auto"/>
        </w:rPr>
        <w:t>2009</w:t>
      </w:r>
      <w:r w:rsidRPr="00B66774">
        <w:rPr>
          <w:color w:val="auto"/>
        </w:rPr>
        <w:t xml:space="preserve">. Anderson </w:t>
      </w:r>
      <w:r w:rsidRPr="00B66774">
        <w:rPr>
          <w:color w:val="auto"/>
        </w:rPr>
        <w:lastRenderedPageBreak/>
        <w:t>et al. [</w:t>
      </w:r>
      <w:r w:rsidR="00B742CB">
        <w:rPr>
          <w:color w:val="auto"/>
        </w:rPr>
        <w:t>6</w:t>
      </w:r>
      <w:r w:rsidRPr="00B66774">
        <w:rPr>
          <w:color w:val="auto"/>
        </w:rPr>
        <w:t>] analyze</w:t>
      </w:r>
      <w:r w:rsidR="00C565EE">
        <w:rPr>
          <w:color w:val="auto"/>
        </w:rPr>
        <w:t>d</w:t>
      </w:r>
      <w:r w:rsidRPr="00B66774">
        <w:rPr>
          <w:color w:val="auto"/>
        </w:rPr>
        <w:t xml:space="preserve"> the mathematical literacy of students in some countries with a result of PISA 2006 using a hierarchical linear modeling method. </w:t>
      </w:r>
      <w:proofErr w:type="spellStart"/>
      <w:r w:rsidRPr="00B66774">
        <w:rPr>
          <w:color w:val="auto"/>
        </w:rPr>
        <w:t>Pakpahan</w:t>
      </w:r>
      <w:proofErr w:type="spellEnd"/>
      <w:r w:rsidRPr="00B66774">
        <w:rPr>
          <w:color w:val="auto"/>
        </w:rPr>
        <w:t xml:space="preserve"> [</w:t>
      </w:r>
      <w:r w:rsidR="00B742CB">
        <w:rPr>
          <w:color w:val="auto"/>
        </w:rPr>
        <w:t>7</w:t>
      </w:r>
      <w:r w:rsidRPr="00B66774">
        <w:rPr>
          <w:color w:val="auto"/>
        </w:rPr>
        <w:t xml:space="preserve">] used correlation analysis on PISA 2012 data and found that identity, socioeconomic and cultural conditions, computer ownership, and books were the main factors influencing the Indonesian students' mathematical literacy. </w:t>
      </w:r>
      <w:proofErr w:type="spellStart"/>
      <w:r w:rsidRPr="00B66774">
        <w:rPr>
          <w:color w:val="auto"/>
        </w:rPr>
        <w:t>Kartianom</w:t>
      </w:r>
      <w:proofErr w:type="spellEnd"/>
      <w:r w:rsidRPr="00B66774">
        <w:rPr>
          <w:color w:val="auto"/>
        </w:rPr>
        <w:t xml:space="preserve"> and </w:t>
      </w:r>
      <w:proofErr w:type="spellStart"/>
      <w:r w:rsidRPr="00B66774">
        <w:rPr>
          <w:color w:val="auto"/>
        </w:rPr>
        <w:t>Ndaziyeye</w:t>
      </w:r>
      <w:proofErr w:type="spellEnd"/>
      <w:r w:rsidRPr="00B66774">
        <w:rPr>
          <w:color w:val="auto"/>
        </w:rPr>
        <w:t xml:space="preserve"> </w:t>
      </w:r>
      <w:r w:rsidR="002B06DC">
        <w:rPr>
          <w:color w:val="auto"/>
        </w:rPr>
        <w:t>applied the</w:t>
      </w:r>
      <w:r w:rsidRPr="00B66774">
        <w:rPr>
          <w:color w:val="auto"/>
        </w:rPr>
        <w:t xml:space="preserve"> </w:t>
      </w:r>
      <w:r w:rsidR="001D3213">
        <w:rPr>
          <w:color w:val="auto"/>
        </w:rPr>
        <w:t>m</w:t>
      </w:r>
      <w:r w:rsidRPr="00B66774">
        <w:rPr>
          <w:color w:val="auto"/>
        </w:rPr>
        <w:t xml:space="preserve">ultilevel </w:t>
      </w:r>
      <w:r w:rsidR="001D3213">
        <w:rPr>
          <w:color w:val="auto"/>
        </w:rPr>
        <w:t>m</w:t>
      </w:r>
      <w:r w:rsidRPr="00B66774">
        <w:rPr>
          <w:color w:val="auto"/>
        </w:rPr>
        <w:t xml:space="preserve">odel </w:t>
      </w:r>
      <w:r w:rsidR="002B06DC">
        <w:rPr>
          <w:color w:val="auto"/>
        </w:rPr>
        <w:t xml:space="preserve">and </w:t>
      </w:r>
      <w:r w:rsidR="008F09A5">
        <w:rPr>
          <w:color w:val="auto"/>
        </w:rPr>
        <w:t xml:space="preserve">found </w:t>
      </w:r>
      <w:r w:rsidRPr="00B66774">
        <w:rPr>
          <w:color w:val="auto"/>
        </w:rPr>
        <w:t>that the socioeconomic status of the family, the socioeconomic average of the school, and students' sense of belonging to mathematics affects the achievement of students' score in mathematics ability at PISA 2015</w:t>
      </w:r>
      <w:r>
        <w:rPr>
          <w:color w:val="auto"/>
        </w:rPr>
        <w:t xml:space="preserve"> [</w:t>
      </w:r>
      <w:r w:rsidR="00B742CB">
        <w:rPr>
          <w:color w:val="auto"/>
        </w:rPr>
        <w:t>8</w:t>
      </w:r>
      <w:r>
        <w:rPr>
          <w:color w:val="auto"/>
        </w:rPr>
        <w:t>]</w:t>
      </w:r>
      <w:r w:rsidRPr="00B66774">
        <w:rPr>
          <w:color w:val="auto"/>
        </w:rPr>
        <w:t>.</w:t>
      </w:r>
      <w:r w:rsidR="002B06DC">
        <w:rPr>
          <w:color w:val="auto"/>
        </w:rPr>
        <w:t xml:space="preserve"> </w:t>
      </w:r>
      <w:r w:rsidR="009B678B">
        <w:rPr>
          <w:color w:val="auto"/>
        </w:rPr>
        <w:t xml:space="preserve"> </w:t>
      </w:r>
      <w:r w:rsidR="00781B73">
        <w:rPr>
          <w:color w:val="auto"/>
        </w:rPr>
        <w:t xml:space="preserve">Comparison </w:t>
      </w:r>
      <w:r w:rsidR="00C565EE">
        <w:rPr>
          <w:color w:val="auto"/>
        </w:rPr>
        <w:t xml:space="preserve">can be rendered </w:t>
      </w:r>
      <w:r w:rsidR="00781B73">
        <w:rPr>
          <w:color w:val="auto"/>
        </w:rPr>
        <w:t>across countr</w:t>
      </w:r>
      <w:r w:rsidR="00C565EE">
        <w:rPr>
          <w:color w:val="auto"/>
        </w:rPr>
        <w:t>ies,</w:t>
      </w:r>
      <w:r w:rsidR="00781B73">
        <w:rPr>
          <w:color w:val="auto"/>
        </w:rPr>
        <w:t xml:space="preserve"> for example</w:t>
      </w:r>
      <w:r w:rsidR="00C565EE">
        <w:rPr>
          <w:color w:val="auto"/>
        </w:rPr>
        <w:t xml:space="preserve"> by identifying</w:t>
      </w:r>
      <w:r w:rsidR="00781B73">
        <w:rPr>
          <w:color w:val="auto"/>
        </w:rPr>
        <w:t xml:space="preserve"> factors</w:t>
      </w:r>
      <w:r w:rsidR="00C565EE">
        <w:rPr>
          <w:color w:val="auto"/>
        </w:rPr>
        <w:t xml:space="preserve"> influencing</w:t>
      </w:r>
      <w:r w:rsidR="00781B73">
        <w:rPr>
          <w:color w:val="auto"/>
        </w:rPr>
        <w:t xml:space="preserve"> mathematics performance in Indonesian, Turkish, Australian and Dutch students [9]. </w:t>
      </w:r>
      <w:r w:rsidR="00B742CB">
        <w:rPr>
          <w:color w:val="auto"/>
        </w:rPr>
        <w:t xml:space="preserve">All of </w:t>
      </w:r>
      <w:r w:rsidR="00C565EE">
        <w:rPr>
          <w:color w:val="auto"/>
        </w:rPr>
        <w:t>the</w:t>
      </w:r>
      <w:r w:rsidR="00B742CB">
        <w:rPr>
          <w:color w:val="auto"/>
        </w:rPr>
        <w:t xml:space="preserve"> stud</w:t>
      </w:r>
      <w:r w:rsidR="00C565EE">
        <w:rPr>
          <w:color w:val="auto"/>
        </w:rPr>
        <w:t>ies</w:t>
      </w:r>
      <w:r w:rsidRPr="00B66774">
        <w:rPr>
          <w:color w:val="auto"/>
        </w:rPr>
        <w:t xml:space="preserve"> </w:t>
      </w:r>
      <w:r w:rsidR="00C565EE">
        <w:rPr>
          <w:color w:val="auto"/>
        </w:rPr>
        <w:t xml:space="preserve">listed </w:t>
      </w:r>
      <w:r w:rsidRPr="00B66774">
        <w:rPr>
          <w:color w:val="auto"/>
        </w:rPr>
        <w:t xml:space="preserve">show that the PISA survey yields </w:t>
      </w:r>
      <w:r w:rsidR="00C565EE">
        <w:rPr>
          <w:color w:val="auto"/>
        </w:rPr>
        <w:t>a lot of</w:t>
      </w:r>
      <w:r w:rsidRPr="00B66774">
        <w:rPr>
          <w:color w:val="auto"/>
        </w:rPr>
        <w:t xml:space="preserve"> information related to educational quality in a country.</w:t>
      </w:r>
    </w:p>
    <w:p w14:paraId="7B3A3247" w14:textId="31D61D92" w:rsidR="009B678B" w:rsidRPr="00C208DA" w:rsidRDefault="00B66774" w:rsidP="00B66774">
      <w:pPr>
        <w:pStyle w:val="BodytextIndented"/>
        <w:rPr>
          <w:color w:val="auto"/>
        </w:rPr>
      </w:pPr>
      <w:r w:rsidRPr="00B66774">
        <w:rPr>
          <w:color w:val="auto"/>
        </w:rPr>
        <w:t xml:space="preserve">The results of the PISA 2018 test show that students from </w:t>
      </w:r>
      <w:r w:rsidR="00C208DA">
        <w:rPr>
          <w:color w:val="auto"/>
        </w:rPr>
        <w:t>Daerah Istimewa Yogyakarta (DIY)</w:t>
      </w:r>
      <w:r w:rsidRPr="00B66774">
        <w:rPr>
          <w:color w:val="auto"/>
        </w:rPr>
        <w:t xml:space="preserve">, a province in Indonesia, exhibit somewhat different performance compared to students from </w:t>
      </w:r>
      <w:r w:rsidR="00DB12F4">
        <w:rPr>
          <w:color w:val="auto"/>
        </w:rPr>
        <w:t>around the</w:t>
      </w:r>
      <w:r w:rsidRPr="00B66774">
        <w:rPr>
          <w:color w:val="auto"/>
        </w:rPr>
        <w:t xml:space="preserve"> country. In mathematics, </w:t>
      </w:r>
      <w:r w:rsidR="00DB12F4">
        <w:rPr>
          <w:color w:val="auto"/>
        </w:rPr>
        <w:t>DIY</w:t>
      </w:r>
      <w:r w:rsidRPr="00B66774">
        <w:rPr>
          <w:color w:val="auto"/>
        </w:rPr>
        <w:t xml:space="preserve"> students obtain an average score of 422, 6 points higher than the students from </w:t>
      </w:r>
      <w:r w:rsidR="00DB12F4">
        <w:rPr>
          <w:color w:val="auto"/>
        </w:rPr>
        <w:t xml:space="preserve">DKI </w:t>
      </w:r>
      <w:r w:rsidRPr="00B66774">
        <w:rPr>
          <w:color w:val="auto"/>
        </w:rPr>
        <w:t xml:space="preserve">Jakarta, or 43 points higher than the </w:t>
      </w:r>
      <w:r w:rsidR="00DB12F4">
        <w:rPr>
          <w:color w:val="auto"/>
        </w:rPr>
        <w:t xml:space="preserve">entire </w:t>
      </w:r>
      <w:r w:rsidRPr="00B66774">
        <w:rPr>
          <w:color w:val="auto"/>
        </w:rPr>
        <w:t>Indonesian participant</w:t>
      </w:r>
      <w:r w:rsidR="00B95AC2">
        <w:rPr>
          <w:color w:val="auto"/>
        </w:rPr>
        <w:t>s</w:t>
      </w:r>
      <w:r w:rsidRPr="00B66774">
        <w:rPr>
          <w:color w:val="auto"/>
        </w:rPr>
        <w:t xml:space="preserve">.  Students from </w:t>
      </w:r>
      <w:r w:rsidR="00DB12F4">
        <w:rPr>
          <w:color w:val="auto"/>
        </w:rPr>
        <w:t>DIY</w:t>
      </w:r>
      <w:r w:rsidRPr="00B66774">
        <w:rPr>
          <w:color w:val="auto"/>
        </w:rPr>
        <w:t xml:space="preserve"> also outperform the other provinc</w:t>
      </w:r>
      <w:r w:rsidR="009B678B">
        <w:rPr>
          <w:color w:val="auto"/>
        </w:rPr>
        <w:t xml:space="preserve">es </w:t>
      </w:r>
      <w:r w:rsidR="00DB12F4">
        <w:rPr>
          <w:color w:val="auto"/>
        </w:rPr>
        <w:t xml:space="preserve">in terms of </w:t>
      </w:r>
      <w:r w:rsidR="009B678B">
        <w:rPr>
          <w:color w:val="auto"/>
        </w:rPr>
        <w:t>science and reading skill</w:t>
      </w:r>
      <w:r w:rsidR="00DB12F4">
        <w:rPr>
          <w:color w:val="auto"/>
        </w:rPr>
        <w:t>s</w:t>
      </w:r>
      <w:r w:rsidR="00DC1391">
        <w:rPr>
          <w:color w:val="auto"/>
        </w:rPr>
        <w:t xml:space="preserve"> [</w:t>
      </w:r>
      <w:r w:rsidR="00A77F62">
        <w:rPr>
          <w:color w:val="auto"/>
        </w:rPr>
        <w:t>10</w:t>
      </w:r>
      <w:r w:rsidR="00DC1391">
        <w:rPr>
          <w:color w:val="auto"/>
        </w:rPr>
        <w:t>]</w:t>
      </w:r>
      <w:r w:rsidR="009B678B">
        <w:rPr>
          <w:color w:val="auto"/>
        </w:rPr>
        <w:t xml:space="preserve">. </w:t>
      </w:r>
      <w:r w:rsidR="00C040AE">
        <w:rPr>
          <w:color w:val="auto"/>
        </w:rPr>
        <w:t xml:space="preserve">This </w:t>
      </w:r>
      <w:r w:rsidR="001E7D04">
        <w:rPr>
          <w:color w:val="auto"/>
        </w:rPr>
        <w:t>result is similar to</w:t>
      </w:r>
      <w:r w:rsidR="00C040AE">
        <w:rPr>
          <w:color w:val="auto"/>
        </w:rPr>
        <w:t xml:space="preserve"> the </w:t>
      </w:r>
      <w:r w:rsidR="001E7D04">
        <w:rPr>
          <w:color w:val="auto"/>
        </w:rPr>
        <w:t xml:space="preserve">2017-2019 </w:t>
      </w:r>
      <w:r w:rsidR="00C040AE">
        <w:rPr>
          <w:color w:val="auto"/>
        </w:rPr>
        <w:t xml:space="preserve">National Examination for Junior Secondary School, in which students from this province </w:t>
      </w:r>
      <w:r w:rsidR="00DB12F4">
        <w:rPr>
          <w:color w:val="auto"/>
        </w:rPr>
        <w:t xml:space="preserve">have the </w:t>
      </w:r>
      <w:r w:rsidR="00C040AE">
        <w:rPr>
          <w:color w:val="auto"/>
        </w:rPr>
        <w:t>highest average score in mathematics</w:t>
      </w:r>
      <w:r w:rsidR="001E7D04">
        <w:rPr>
          <w:color w:val="auto"/>
        </w:rPr>
        <w:t xml:space="preserve">, </w:t>
      </w:r>
      <w:r w:rsidR="00C040AE">
        <w:rPr>
          <w:color w:val="auto"/>
        </w:rPr>
        <w:t>science</w:t>
      </w:r>
      <w:r w:rsidR="001E7D04">
        <w:rPr>
          <w:color w:val="auto"/>
        </w:rPr>
        <w:t xml:space="preserve"> and </w:t>
      </w:r>
      <w:r w:rsidR="00DB12F4">
        <w:rPr>
          <w:color w:val="auto"/>
        </w:rPr>
        <w:t xml:space="preserve">national language </w:t>
      </w:r>
      <w:r w:rsidR="00C040AE">
        <w:rPr>
          <w:color w:val="auto"/>
        </w:rPr>
        <w:t>across all province</w:t>
      </w:r>
      <w:r w:rsidR="00DB12F4">
        <w:rPr>
          <w:color w:val="auto"/>
        </w:rPr>
        <w:t>s</w:t>
      </w:r>
      <w:r w:rsidR="001E7D04">
        <w:rPr>
          <w:color w:val="auto"/>
        </w:rPr>
        <w:t xml:space="preserve"> in Indonesia</w:t>
      </w:r>
      <w:r w:rsidR="00DC1391">
        <w:rPr>
          <w:color w:val="auto"/>
        </w:rPr>
        <w:t xml:space="preserve"> [</w:t>
      </w:r>
      <w:r w:rsidR="00B742CB">
        <w:rPr>
          <w:color w:val="auto"/>
        </w:rPr>
        <w:t>1</w:t>
      </w:r>
      <w:r w:rsidR="00A77F62">
        <w:rPr>
          <w:color w:val="auto"/>
        </w:rPr>
        <w:t>1</w:t>
      </w:r>
      <w:r w:rsidR="00DC1391">
        <w:rPr>
          <w:color w:val="auto"/>
        </w:rPr>
        <w:t>]</w:t>
      </w:r>
      <w:r w:rsidR="00C040AE">
        <w:rPr>
          <w:color w:val="auto"/>
        </w:rPr>
        <w:t>.</w:t>
      </w:r>
      <w:r w:rsidR="00C208DA">
        <w:rPr>
          <w:color w:val="auto"/>
        </w:rPr>
        <w:t xml:space="preserve"> </w:t>
      </w:r>
      <w:r w:rsidR="007D60D6">
        <w:rPr>
          <w:color w:val="auto"/>
        </w:rPr>
        <w:t xml:space="preserve">For a long time, </w:t>
      </w:r>
      <w:r w:rsidR="00DB12F4">
        <w:rPr>
          <w:color w:val="auto"/>
        </w:rPr>
        <w:t>DIY</w:t>
      </w:r>
      <w:r w:rsidR="007D60D6">
        <w:rPr>
          <w:color w:val="auto"/>
        </w:rPr>
        <w:t xml:space="preserve"> is known as the home for many school</w:t>
      </w:r>
      <w:r w:rsidR="00DB12F4">
        <w:rPr>
          <w:color w:val="auto"/>
        </w:rPr>
        <w:t>s</w:t>
      </w:r>
      <w:r w:rsidR="007D60D6">
        <w:rPr>
          <w:color w:val="auto"/>
        </w:rPr>
        <w:t>, students, and higher education institution</w:t>
      </w:r>
      <w:r w:rsidR="00DB12F4">
        <w:rPr>
          <w:color w:val="auto"/>
        </w:rPr>
        <w:t>s</w:t>
      </w:r>
      <w:r w:rsidR="007D60D6">
        <w:rPr>
          <w:color w:val="auto"/>
        </w:rPr>
        <w:t xml:space="preserve"> (universities and academ</w:t>
      </w:r>
      <w:r w:rsidR="00DB12F4">
        <w:rPr>
          <w:color w:val="auto"/>
        </w:rPr>
        <w:t>ies</w:t>
      </w:r>
      <w:r w:rsidR="007D60D6">
        <w:rPr>
          <w:color w:val="auto"/>
        </w:rPr>
        <w:t>).</w:t>
      </w:r>
      <w:r w:rsidR="00801402">
        <w:rPr>
          <w:color w:val="auto"/>
        </w:rPr>
        <w:t xml:space="preserve"> As a former kingdom governed by Sultan, various ceremonial and cultural events still occurred in </w:t>
      </w:r>
      <w:r w:rsidR="00DB12F4">
        <w:rPr>
          <w:color w:val="auto"/>
        </w:rPr>
        <w:t>DIY</w:t>
      </w:r>
      <w:r w:rsidR="00801402">
        <w:rPr>
          <w:color w:val="auto"/>
        </w:rPr>
        <w:t>.</w:t>
      </w:r>
      <w:r w:rsidR="007D60D6">
        <w:rPr>
          <w:color w:val="auto"/>
        </w:rPr>
        <w:t xml:space="preserve"> This province </w:t>
      </w:r>
      <w:r w:rsidR="00DB12F4">
        <w:rPr>
          <w:color w:val="auto"/>
        </w:rPr>
        <w:t xml:space="preserve">is </w:t>
      </w:r>
      <w:r w:rsidR="007D60D6">
        <w:rPr>
          <w:color w:val="auto"/>
        </w:rPr>
        <w:t xml:space="preserve">also known for </w:t>
      </w:r>
      <w:r w:rsidR="00DB12F4">
        <w:rPr>
          <w:color w:val="auto"/>
        </w:rPr>
        <w:t>its population’s</w:t>
      </w:r>
      <w:r w:rsidR="007D60D6">
        <w:rPr>
          <w:color w:val="auto"/>
        </w:rPr>
        <w:t xml:space="preserve"> highest life expectancy [1</w:t>
      </w:r>
      <w:r w:rsidR="00A77F62">
        <w:rPr>
          <w:color w:val="auto"/>
        </w:rPr>
        <w:t>2</w:t>
      </w:r>
      <w:r w:rsidR="007D60D6">
        <w:rPr>
          <w:color w:val="auto"/>
        </w:rPr>
        <w:t>]</w:t>
      </w:r>
      <w:r w:rsidR="001D3213">
        <w:rPr>
          <w:color w:val="auto"/>
        </w:rPr>
        <w:t xml:space="preserve">, but with high </w:t>
      </w:r>
      <w:r w:rsidR="00352E98">
        <w:rPr>
          <w:color w:val="auto"/>
        </w:rPr>
        <w:t>economic inequality as presented by high value of Gini Ratio [1</w:t>
      </w:r>
      <w:r w:rsidR="00A77F62">
        <w:rPr>
          <w:color w:val="auto"/>
        </w:rPr>
        <w:t>3</w:t>
      </w:r>
      <w:r w:rsidR="00352E98">
        <w:rPr>
          <w:color w:val="auto"/>
        </w:rPr>
        <w:t xml:space="preserve">]. </w:t>
      </w:r>
    </w:p>
    <w:p w14:paraId="4A978EF9" w14:textId="33F6BBBF" w:rsidR="00C040AE" w:rsidRDefault="00EB4D0D" w:rsidP="00B66774">
      <w:pPr>
        <w:pStyle w:val="BodytextIndented"/>
        <w:rPr>
          <w:color w:val="auto"/>
        </w:rPr>
      </w:pPr>
      <w:r w:rsidRPr="00EB4D0D">
        <w:rPr>
          <w:color w:val="auto"/>
        </w:rPr>
        <w:t xml:space="preserve">The PISA 2018 might not only give information about the score and rank obtained by students from </w:t>
      </w:r>
      <w:r w:rsidR="00DB12F4">
        <w:rPr>
          <w:color w:val="auto"/>
        </w:rPr>
        <w:t>DIY</w:t>
      </w:r>
      <w:r w:rsidRPr="00EB4D0D">
        <w:rPr>
          <w:color w:val="auto"/>
        </w:rPr>
        <w:t xml:space="preserve"> or, </w:t>
      </w:r>
      <w:r w:rsidR="00DB12F4">
        <w:rPr>
          <w:color w:val="auto"/>
        </w:rPr>
        <w:t>more</w:t>
      </w:r>
      <w:r w:rsidRPr="00EB4D0D">
        <w:rPr>
          <w:color w:val="auto"/>
        </w:rPr>
        <w:t xml:space="preserve"> general</w:t>
      </w:r>
      <w:r w:rsidR="00DB12F4">
        <w:rPr>
          <w:color w:val="auto"/>
        </w:rPr>
        <w:t>ly</w:t>
      </w:r>
      <w:r w:rsidRPr="00EB4D0D">
        <w:rPr>
          <w:color w:val="auto"/>
        </w:rPr>
        <w:t>, Indonesia.</w:t>
      </w:r>
      <w:r>
        <w:rPr>
          <w:color w:val="auto"/>
        </w:rPr>
        <w:t xml:space="preserve"> </w:t>
      </w:r>
      <w:r w:rsidR="00352E98">
        <w:rPr>
          <w:color w:val="auto"/>
        </w:rPr>
        <w:t>T</w:t>
      </w:r>
      <w:r w:rsidRPr="00EB4D0D">
        <w:rPr>
          <w:color w:val="auto"/>
        </w:rPr>
        <w:t xml:space="preserve">his study aims to explain </w:t>
      </w:r>
      <w:r w:rsidR="00352E98">
        <w:rPr>
          <w:color w:val="auto"/>
        </w:rPr>
        <w:t>the relations</w:t>
      </w:r>
      <w:r w:rsidR="00DB12F4">
        <w:rPr>
          <w:color w:val="auto"/>
        </w:rPr>
        <w:t>hips</w:t>
      </w:r>
      <w:r w:rsidR="00352E98">
        <w:rPr>
          <w:color w:val="auto"/>
        </w:rPr>
        <w:t xml:space="preserve"> between gender </w:t>
      </w:r>
      <w:r w:rsidR="00DB12F4">
        <w:rPr>
          <w:color w:val="auto"/>
        </w:rPr>
        <w:t>and</w:t>
      </w:r>
      <w:r w:rsidR="00352E98">
        <w:rPr>
          <w:color w:val="auto"/>
        </w:rPr>
        <w:t xml:space="preserve"> </w:t>
      </w:r>
      <w:r w:rsidR="002B06DC">
        <w:rPr>
          <w:color w:val="auto"/>
        </w:rPr>
        <w:t>economic-</w:t>
      </w:r>
      <w:r w:rsidR="00352E98">
        <w:rPr>
          <w:color w:val="auto"/>
        </w:rPr>
        <w:t>social-</w:t>
      </w:r>
      <w:r w:rsidR="002B06DC">
        <w:rPr>
          <w:color w:val="auto"/>
        </w:rPr>
        <w:t>cultural</w:t>
      </w:r>
      <w:r w:rsidR="00352E98">
        <w:rPr>
          <w:color w:val="auto"/>
        </w:rPr>
        <w:t xml:space="preserve"> </w:t>
      </w:r>
      <w:r w:rsidR="002B06DC">
        <w:rPr>
          <w:color w:val="auto"/>
        </w:rPr>
        <w:t>status</w:t>
      </w:r>
      <w:r w:rsidR="00352E98">
        <w:rPr>
          <w:color w:val="auto"/>
        </w:rPr>
        <w:t xml:space="preserve"> (ESCS) to the</w:t>
      </w:r>
      <w:r w:rsidRPr="00EB4D0D">
        <w:rPr>
          <w:color w:val="auto"/>
        </w:rPr>
        <w:t xml:space="preserve"> students’ performance in reading, mathematics, and science using the PISA </w:t>
      </w:r>
      <w:r w:rsidR="00DB12F4" w:rsidRPr="00EB4D0D">
        <w:rPr>
          <w:color w:val="auto"/>
        </w:rPr>
        <w:t xml:space="preserve">2018 </w:t>
      </w:r>
      <w:r w:rsidRPr="00EB4D0D">
        <w:rPr>
          <w:color w:val="auto"/>
        </w:rPr>
        <w:t>datasets. To reduce the variability, this study focus</w:t>
      </w:r>
      <w:r w:rsidR="00DB12F4">
        <w:rPr>
          <w:color w:val="auto"/>
        </w:rPr>
        <w:t>es</w:t>
      </w:r>
      <w:r w:rsidRPr="00EB4D0D">
        <w:rPr>
          <w:color w:val="auto"/>
        </w:rPr>
        <w:t xml:space="preserve"> on the score </w:t>
      </w:r>
      <w:r w:rsidR="00DB12F4">
        <w:rPr>
          <w:color w:val="auto"/>
        </w:rPr>
        <w:t xml:space="preserve">that </w:t>
      </w:r>
      <w:r w:rsidRPr="00EB4D0D">
        <w:rPr>
          <w:color w:val="auto"/>
        </w:rPr>
        <w:t xml:space="preserve">obtained by students from </w:t>
      </w:r>
      <w:r w:rsidR="00DB12F4">
        <w:rPr>
          <w:color w:val="auto"/>
        </w:rPr>
        <w:t>DIY</w:t>
      </w:r>
      <w:r w:rsidRPr="00EB4D0D">
        <w:rPr>
          <w:color w:val="auto"/>
        </w:rPr>
        <w:t>.</w:t>
      </w:r>
      <w:r>
        <w:rPr>
          <w:color w:val="auto"/>
        </w:rPr>
        <w:t xml:space="preserve"> </w:t>
      </w:r>
      <w:r w:rsidR="002B06DC">
        <w:rPr>
          <w:color w:val="auto"/>
        </w:rPr>
        <w:t xml:space="preserve">Result of this study </w:t>
      </w:r>
      <w:r w:rsidR="00DB12F4">
        <w:rPr>
          <w:color w:val="auto"/>
        </w:rPr>
        <w:t>could provide</w:t>
      </w:r>
      <w:r w:rsidR="002B06DC">
        <w:rPr>
          <w:color w:val="auto"/>
        </w:rPr>
        <w:t xml:space="preserve"> some insight</w:t>
      </w:r>
      <w:r w:rsidR="00DB12F4">
        <w:rPr>
          <w:color w:val="auto"/>
        </w:rPr>
        <w:t>s</w:t>
      </w:r>
      <w:r w:rsidR="002B06DC">
        <w:rPr>
          <w:color w:val="auto"/>
        </w:rPr>
        <w:t xml:space="preserve"> for further analysis of PISA 2018 datasets. </w:t>
      </w:r>
    </w:p>
    <w:p w14:paraId="513B2A53" w14:textId="77777777" w:rsidR="00EB4D0D" w:rsidRPr="009B678B" w:rsidRDefault="00EB4D0D" w:rsidP="00B66774">
      <w:pPr>
        <w:pStyle w:val="BodytextIndented"/>
        <w:rPr>
          <w:color w:val="auto"/>
        </w:rPr>
      </w:pPr>
    </w:p>
    <w:p w14:paraId="08C3817C" w14:textId="77777777" w:rsidR="00832051" w:rsidRPr="00803EAD" w:rsidRDefault="00832051" w:rsidP="009845CD">
      <w:pPr>
        <w:pStyle w:val="BodytextIndented"/>
        <w:rPr>
          <w:color w:val="4F81BD" w:themeColor="accent1"/>
        </w:rPr>
      </w:pPr>
    </w:p>
    <w:p w14:paraId="4AB7FE92" w14:textId="64A30E22" w:rsidR="009A0487" w:rsidRDefault="009B5185" w:rsidP="00FA009C">
      <w:pPr>
        <w:pStyle w:val="Section"/>
        <w:spacing w:before="0"/>
      </w:pPr>
      <w:r>
        <w:t>M</w:t>
      </w:r>
      <w:r w:rsidR="00FA009C">
        <w:t>aterials</w:t>
      </w:r>
      <w:r>
        <w:t xml:space="preserve"> </w:t>
      </w:r>
    </w:p>
    <w:p w14:paraId="3E609BAA" w14:textId="4ADCD9FB" w:rsidR="009A0487" w:rsidRPr="00733CB3" w:rsidRDefault="000B03EC" w:rsidP="00EF4FBD">
      <w:pPr>
        <w:pStyle w:val="Heading2"/>
        <w:numPr>
          <w:ilvl w:val="1"/>
          <w:numId w:val="7"/>
        </w:numPr>
      </w:pPr>
      <w:r>
        <w:t xml:space="preserve">Data </w:t>
      </w:r>
    </w:p>
    <w:p w14:paraId="33B37F94" w14:textId="48881D96" w:rsidR="000B03EC" w:rsidRDefault="00D73397" w:rsidP="000B03EC">
      <w:pPr>
        <w:pStyle w:val="Bodytext"/>
      </w:pPr>
      <w:r>
        <w:t xml:space="preserve">Data </w:t>
      </w:r>
      <w:r w:rsidR="00FA009C">
        <w:t xml:space="preserve">used in this study </w:t>
      </w:r>
      <w:r w:rsidR="00027690">
        <w:t>were</w:t>
      </w:r>
      <w:r>
        <w:t xml:space="preserve"> taken from the </w:t>
      </w:r>
      <w:proofErr w:type="spellStart"/>
      <w:r w:rsidR="00027690">
        <w:t>Programme</w:t>
      </w:r>
      <w:proofErr w:type="spellEnd"/>
      <w:r w:rsidR="00027690">
        <w:t xml:space="preserve"> for International Student Assessment</w:t>
      </w:r>
      <w:r>
        <w:t xml:space="preserve"> </w:t>
      </w:r>
      <w:r w:rsidR="00027690">
        <w:t>(</w:t>
      </w:r>
      <w:r>
        <w:t>PISA</w:t>
      </w:r>
      <w:r w:rsidR="00027690">
        <w:t>)</w:t>
      </w:r>
      <w:r>
        <w:t xml:space="preserve"> 2018 </w:t>
      </w:r>
      <w:r w:rsidR="00B638ED">
        <w:t xml:space="preserve">which </w:t>
      </w:r>
      <w:r>
        <w:t>available on</w:t>
      </w:r>
      <w:r w:rsidR="00B638ED">
        <w:t xml:space="preserve">line through the </w:t>
      </w:r>
      <w:r w:rsidRPr="00AE0F02">
        <w:t>www.oecd.org/pisa</w:t>
      </w:r>
      <w:r>
        <w:t xml:space="preserve"> </w:t>
      </w:r>
      <w:r w:rsidR="00B638ED">
        <w:t xml:space="preserve">website. PISA measures 15-year-olds’ ability to use their reading, mathematics and science knowledge and skills to fulfill real-life challenges </w:t>
      </w:r>
      <w:r w:rsidR="00584FAD">
        <w:t>[14]</w:t>
      </w:r>
      <w:r w:rsidR="00B638ED">
        <w:t xml:space="preserve">. The PISA 2018 Indonesia </w:t>
      </w:r>
      <w:r w:rsidR="00D955E0">
        <w:t xml:space="preserve">for Daerah Istimewa Yogyakarta (DIY) province </w:t>
      </w:r>
      <w:r w:rsidR="00B638ED">
        <w:t xml:space="preserve">data were selected to examine the </w:t>
      </w:r>
      <w:r w:rsidR="00FA009C">
        <w:t>relationship</w:t>
      </w:r>
      <w:r w:rsidR="00B638ED">
        <w:t xml:space="preserve"> of student</w:t>
      </w:r>
      <w:r w:rsidR="00FA009C">
        <w:t>s’</w:t>
      </w:r>
      <w:r w:rsidR="00B638ED">
        <w:t xml:space="preserve"> backgrounds </w:t>
      </w:r>
      <w:r w:rsidR="00FA009C">
        <w:t>to students’</w:t>
      </w:r>
      <w:r w:rsidR="001A5EE4">
        <w:t xml:space="preserve"> </w:t>
      </w:r>
      <w:r w:rsidR="00B638ED">
        <w:t>achievements.</w:t>
      </w:r>
      <w:r w:rsidR="000B03EC">
        <w:t xml:space="preserve"> </w:t>
      </w:r>
      <w:r w:rsidR="009A0487">
        <w:t xml:space="preserve"> </w:t>
      </w:r>
    </w:p>
    <w:p w14:paraId="5C47817F" w14:textId="77777777" w:rsidR="00660B77" w:rsidRPr="00660B77" w:rsidRDefault="00660B77" w:rsidP="00660B77">
      <w:pPr>
        <w:pStyle w:val="BodytextIndented"/>
      </w:pPr>
    </w:p>
    <w:p w14:paraId="59A086D6" w14:textId="31842E79" w:rsidR="000B03EC" w:rsidRDefault="000B03EC" w:rsidP="00EF4FBD">
      <w:pPr>
        <w:pStyle w:val="Heading2"/>
        <w:numPr>
          <w:ilvl w:val="1"/>
          <w:numId w:val="7"/>
        </w:numPr>
      </w:pPr>
      <w:r>
        <w:t>Measure</w:t>
      </w:r>
      <w:r w:rsidR="00117696">
        <w:t>s</w:t>
      </w:r>
      <w:r>
        <w:t xml:space="preserve"> </w:t>
      </w:r>
    </w:p>
    <w:p w14:paraId="4CA1787E" w14:textId="2C63EB62" w:rsidR="00222DF1" w:rsidRDefault="00D73397" w:rsidP="00DE45C1">
      <w:pPr>
        <w:jc w:val="both"/>
        <w:rPr>
          <w:color w:val="000000" w:themeColor="text1"/>
        </w:rPr>
      </w:pPr>
      <w:r>
        <w:t>The outcome variable</w:t>
      </w:r>
      <w:r w:rsidR="00B638ED">
        <w:t>s</w:t>
      </w:r>
      <w:r>
        <w:t xml:space="preserve"> in this study </w:t>
      </w:r>
      <w:r w:rsidR="00B638ED">
        <w:t>are</w:t>
      </w:r>
      <w:r>
        <w:t xml:space="preserve"> mathematics, science, and reading </w:t>
      </w:r>
      <w:r w:rsidR="00B638ED">
        <w:t xml:space="preserve">achievements where </w:t>
      </w:r>
      <w:r w:rsidR="00212EDD">
        <w:t xml:space="preserve">each </w:t>
      </w:r>
      <w:r w:rsidR="005D0C04">
        <w:t xml:space="preserve">outcome </w:t>
      </w:r>
      <w:r w:rsidR="00212EDD">
        <w:t>is calculated from the average of its ten</w:t>
      </w:r>
      <w:r w:rsidR="00226296">
        <w:t xml:space="preserve"> of the </w:t>
      </w:r>
      <w:r w:rsidR="00212EDD">
        <w:t>plausible values</w:t>
      </w:r>
      <w:r>
        <w:t xml:space="preserve">. The </w:t>
      </w:r>
      <w:r w:rsidR="00016FEF">
        <w:t>e</w:t>
      </w:r>
      <w:r w:rsidRPr="002B579A">
        <w:t>xplanatory variables are gender</w:t>
      </w:r>
      <w:r w:rsidR="00EC67F0">
        <w:t xml:space="preserve"> </w:t>
      </w:r>
      <w:r w:rsidR="00516EA4">
        <w:t>(</w:t>
      </w:r>
      <w:r w:rsidR="001A5EE4">
        <w:t>female and male</w:t>
      </w:r>
      <w:r w:rsidR="00516EA4">
        <w:t xml:space="preserve">) </w:t>
      </w:r>
      <w:r>
        <w:t xml:space="preserve">and </w:t>
      </w:r>
      <w:r w:rsidR="0031609D">
        <w:t xml:space="preserve">the </w:t>
      </w:r>
      <w:r>
        <w:t>index of economic, social, and cultural status (ESC</w:t>
      </w:r>
      <w:r w:rsidR="0031609D">
        <w:t>S</w:t>
      </w:r>
      <w:r>
        <w:t>).</w:t>
      </w:r>
      <w:r w:rsidR="006102BC">
        <w:t xml:space="preserve"> </w:t>
      </w:r>
      <w:r w:rsidR="001A5EE4" w:rsidRPr="00D12BD8">
        <w:rPr>
          <w:color w:val="000000" w:themeColor="text1"/>
        </w:rPr>
        <w:t>Th</w:t>
      </w:r>
      <w:r w:rsidR="00D12BD8" w:rsidRPr="00D12BD8">
        <w:rPr>
          <w:color w:val="000000" w:themeColor="text1"/>
        </w:rPr>
        <w:t xml:space="preserve">e ESCS index was </w:t>
      </w:r>
      <w:r w:rsidR="001A5EE4" w:rsidRPr="00D12BD8">
        <w:rPr>
          <w:color w:val="000000" w:themeColor="text1"/>
        </w:rPr>
        <w:t>created using student reports on parental occupation, the highest level of parental education, and an index of home possessions related to family wealth, home educational resources and possessions related to classical culture in the family home</w:t>
      </w:r>
      <w:r w:rsidR="00D12BD8">
        <w:rPr>
          <w:color w:val="000000" w:themeColor="text1"/>
        </w:rPr>
        <w:t xml:space="preserve"> </w:t>
      </w:r>
      <w:r w:rsidR="00110F69">
        <w:rPr>
          <w:color w:val="000000" w:themeColor="text1"/>
        </w:rPr>
        <w:t>[15]</w:t>
      </w:r>
      <w:r w:rsidR="001A5EE4" w:rsidRPr="00D12BD8">
        <w:rPr>
          <w:color w:val="000000" w:themeColor="text1"/>
        </w:rPr>
        <w:t>.</w:t>
      </w:r>
    </w:p>
    <w:p w14:paraId="3E3FBE14" w14:textId="77777777" w:rsidR="00660B77" w:rsidRPr="00D12BD8" w:rsidRDefault="00660B77" w:rsidP="00DE45C1">
      <w:pPr>
        <w:jc w:val="both"/>
        <w:rPr>
          <w:color w:val="000000" w:themeColor="text1"/>
        </w:rPr>
      </w:pPr>
    </w:p>
    <w:p w14:paraId="19CFF793" w14:textId="0A0AD774" w:rsidR="009A0487" w:rsidRDefault="000B03EC" w:rsidP="00EF4FBD">
      <w:pPr>
        <w:pStyle w:val="Heading2"/>
        <w:numPr>
          <w:ilvl w:val="1"/>
          <w:numId w:val="7"/>
        </w:numPr>
      </w:pPr>
      <w:r>
        <w:t>Data Analys</w:t>
      </w:r>
      <w:r w:rsidR="0000750F">
        <w:t>e</w:t>
      </w:r>
      <w:r>
        <w:t>s</w:t>
      </w:r>
      <w:r w:rsidR="009A0487">
        <w:t xml:space="preserve"> </w:t>
      </w:r>
    </w:p>
    <w:p w14:paraId="46CBC203" w14:textId="4843A575" w:rsidR="00533C1B" w:rsidRDefault="00C13142" w:rsidP="009F1E0F">
      <w:pPr>
        <w:jc w:val="both"/>
      </w:pPr>
      <w:r>
        <w:t xml:space="preserve">In this study a total of </w:t>
      </w:r>
      <w:r w:rsidR="001A5EE4">
        <w:t>1,856</w:t>
      </w:r>
      <w:r>
        <w:t xml:space="preserve"> </w:t>
      </w:r>
      <w:r w:rsidR="001A5EE4">
        <w:t>students</w:t>
      </w:r>
      <w:r>
        <w:t xml:space="preserve"> </w:t>
      </w:r>
      <w:r w:rsidR="00C376EB">
        <w:t xml:space="preserve">on the selected variables with completes responses </w:t>
      </w:r>
      <w:r>
        <w:t xml:space="preserve">were used </w:t>
      </w:r>
      <w:r w:rsidR="00EC67F0">
        <w:t>in the</w:t>
      </w:r>
      <w:r>
        <w:t xml:space="preserve"> analys</w:t>
      </w:r>
      <w:r w:rsidR="00EC67F0">
        <w:t>e</w:t>
      </w:r>
      <w:r w:rsidR="00C376EB">
        <w:t>s</w:t>
      </w:r>
      <w:r>
        <w:t xml:space="preserve">. Descriptive statistics, </w:t>
      </w:r>
      <w:r w:rsidR="00C376EB">
        <w:t>multivariate regression analysis with</w:t>
      </w:r>
      <w:r w:rsidR="00320B6E">
        <w:t>out</w:t>
      </w:r>
      <w:r w:rsidR="00C376EB">
        <w:t xml:space="preserve"> and </w:t>
      </w:r>
      <w:r w:rsidR="00320B6E">
        <w:t xml:space="preserve">with </w:t>
      </w:r>
      <w:r w:rsidR="00C376EB">
        <w:t xml:space="preserve">interaction </w:t>
      </w:r>
      <w:r>
        <w:t>were used to overview characteristics of the sample</w:t>
      </w:r>
      <w:r w:rsidR="00EB6F3D">
        <w:t xml:space="preserve"> and</w:t>
      </w:r>
      <w:r>
        <w:t xml:space="preserve"> to </w:t>
      </w:r>
      <w:r w:rsidR="00320B6E">
        <w:t xml:space="preserve">assess the relationship of </w:t>
      </w:r>
      <w:r>
        <w:t xml:space="preserve">gender and </w:t>
      </w:r>
      <w:r w:rsidR="00EC67F0">
        <w:t>ESCS on the three student achievements simultaneously</w:t>
      </w:r>
      <w:r w:rsidR="00EB6F3D">
        <w:t xml:space="preserve"> and separately</w:t>
      </w:r>
      <w:r w:rsidR="00EC67F0">
        <w:t>.</w:t>
      </w:r>
      <w:r w:rsidR="0095415F">
        <w:t xml:space="preserve"> </w:t>
      </w:r>
    </w:p>
    <w:p w14:paraId="09084D50" w14:textId="083DFDBD" w:rsidR="000534DA" w:rsidRDefault="00540E94" w:rsidP="0060388A">
      <w:pPr>
        <w:ind w:firstLine="426"/>
        <w:jc w:val="both"/>
      </w:pPr>
      <w:r>
        <w:lastRenderedPageBreak/>
        <w:t xml:space="preserve">The </w:t>
      </w:r>
      <w:r w:rsidR="00EB6F3D">
        <w:t xml:space="preserve">multivariate </w:t>
      </w:r>
      <w:r w:rsidR="000C4EB0">
        <w:t xml:space="preserve">linear </w:t>
      </w:r>
      <w:r w:rsidR="00EB6F3D">
        <w:t xml:space="preserve">regression model </w:t>
      </w:r>
      <w:r w:rsidR="00E85626">
        <w:t xml:space="preserve">in matrix form </w:t>
      </w:r>
      <w:r>
        <w:t xml:space="preserve">is </w:t>
      </w:r>
      <w:r w:rsidR="00D953E4">
        <w:t>given below,</w:t>
      </w:r>
    </w:p>
    <w:p w14:paraId="27B81CF5" w14:textId="77777777" w:rsidR="00801402" w:rsidRDefault="00801402" w:rsidP="0060388A">
      <w:pPr>
        <w:ind w:firstLine="426"/>
        <w:jc w:val="both"/>
      </w:pPr>
    </w:p>
    <w:p w14:paraId="6A683764" w14:textId="5DA87AFD" w:rsidR="00E85626" w:rsidRDefault="00D5251E" w:rsidP="00E85626">
      <w:pPr>
        <w:ind w:left="1702" w:firstLine="851"/>
        <w:jc w:val="both"/>
        <w:rPr>
          <w:color w:val="000000" w:themeColor="text1"/>
        </w:rPr>
      </w:pPr>
      <m:oMath>
        <m:limLow>
          <m:limLowPr>
            <m:ctrlPr>
              <w:rPr>
                <w:rFonts w:ascii="Cambria Math" w:hAnsi="Cambria Math"/>
                <w:b/>
                <w:bCs/>
                <w:iCs/>
              </w:rPr>
            </m:ctrlPr>
          </m:limLowPr>
          <m:e>
            <m:groupChr>
              <m:groupChrPr>
                <m:ctrlPr>
                  <w:rPr>
                    <w:rFonts w:ascii="Cambria Math" w:hAnsi="Cambria Math"/>
                    <w:b/>
                    <w:bCs/>
                    <w:iCs/>
                  </w:rPr>
                </m:ctrlPr>
              </m:groupChrPr>
              <m:e>
                <m:r>
                  <m:rPr>
                    <m:sty m:val="b"/>
                  </m:rPr>
                  <w:rPr>
                    <w:rFonts w:ascii="Cambria Math" w:hAnsi="Cambria Math"/>
                  </w:rPr>
                  <m:t>Y</m:t>
                </m:r>
              </m:e>
            </m:groupChr>
          </m:e>
          <m:lim>
            <m:r>
              <w:rPr>
                <w:rFonts w:ascii="Cambria Math" w:hAnsi="Cambria Math"/>
              </w:rPr>
              <m:t>(n×m)</m:t>
            </m:r>
          </m:lim>
        </m:limLow>
        <m:r>
          <w:rPr>
            <w:rFonts w:ascii="Cambria Math" w:hAnsi="Cambria Math"/>
          </w:rPr>
          <m:t>=</m:t>
        </m:r>
        <m:limLow>
          <m:limLowPr>
            <m:ctrlPr>
              <w:rPr>
                <w:rFonts w:ascii="Cambria Math" w:hAnsi="Cambria Math"/>
                <w:b/>
              </w:rPr>
            </m:ctrlPr>
          </m:limLowPr>
          <m:e>
            <m:groupChr>
              <m:groupChrPr>
                <m:ctrlPr>
                  <w:rPr>
                    <w:rFonts w:ascii="Cambria Math" w:hAnsi="Cambria Math"/>
                    <w:b/>
                  </w:rPr>
                </m:ctrlPr>
              </m:groupChrPr>
              <m:e>
                <m:r>
                  <m:rPr>
                    <m:sty m:val="b"/>
                  </m:rPr>
                  <w:rPr>
                    <w:rFonts w:ascii="Cambria Math" w:hAnsi="Cambria Math"/>
                  </w:rPr>
                  <m:t>X</m:t>
                </m:r>
              </m:e>
            </m:groupChr>
          </m:e>
          <m:lim>
            <m:d>
              <m:dPr>
                <m:ctrlPr>
                  <w:rPr>
                    <w:rFonts w:ascii="Cambria Math" w:hAnsi="Cambria Math"/>
                    <w:b/>
                    <w:i/>
                  </w:rPr>
                </m:ctrlPr>
              </m:dPr>
              <m:e>
                <m:r>
                  <w:rPr>
                    <w:rFonts w:ascii="Cambria Math" w:hAnsi="Cambria Math"/>
                  </w:rPr>
                  <m:t>n</m:t>
                </m:r>
                <m:r>
                  <m:rPr>
                    <m:sty m:val="bi"/>
                  </m:rPr>
                  <w:rPr>
                    <w:rFonts w:ascii="Cambria Math" w:hAnsi="Cambria Math"/>
                  </w:rPr>
                  <m:t>×</m:t>
                </m:r>
                <m:d>
                  <m:dPr>
                    <m:ctrlPr>
                      <w:rPr>
                        <w:rFonts w:ascii="Cambria Math" w:hAnsi="Cambria Math"/>
                        <w:b/>
                        <w:i/>
                      </w:rPr>
                    </m:ctrlPr>
                  </m:dPr>
                  <m:e>
                    <m:r>
                      <w:rPr>
                        <w:rFonts w:ascii="Cambria Math" w:hAnsi="Cambria Math"/>
                      </w:rPr>
                      <m:t>p+1</m:t>
                    </m:r>
                  </m:e>
                </m:d>
              </m:e>
            </m:d>
          </m:lim>
        </m:limLow>
        <m:limLow>
          <m:limLowPr>
            <m:ctrlPr>
              <w:rPr>
                <w:rFonts w:ascii="Cambria Math" w:hAnsi="Cambria Math"/>
                <w:b/>
              </w:rPr>
            </m:ctrlPr>
          </m:limLowPr>
          <m:e>
            <m:groupChr>
              <m:groupChrPr>
                <m:ctrlPr>
                  <w:rPr>
                    <w:rFonts w:ascii="Cambria Math" w:hAnsi="Cambria Math"/>
                    <w:b/>
                  </w:rPr>
                </m:ctrlPr>
              </m:groupChrPr>
              <m:e>
                <m:r>
                  <m:rPr>
                    <m:sty m:val="b"/>
                  </m:rPr>
                  <w:rPr>
                    <w:rFonts w:ascii="Cambria Math" w:hAnsi="Cambria Math"/>
                  </w:rPr>
                  <m:t>β</m:t>
                </m:r>
              </m:e>
            </m:groupChr>
          </m:e>
          <m:lim>
            <m:d>
              <m:dPr>
                <m:ctrlPr>
                  <w:rPr>
                    <w:rFonts w:ascii="Cambria Math" w:hAnsi="Cambria Math"/>
                    <w:b/>
                    <w:i/>
                  </w:rPr>
                </m:ctrlPr>
              </m:dPr>
              <m:e>
                <m:d>
                  <m:dPr>
                    <m:ctrlPr>
                      <w:rPr>
                        <w:rFonts w:ascii="Cambria Math" w:hAnsi="Cambria Math"/>
                        <w:bCs/>
                        <w:i/>
                      </w:rPr>
                    </m:ctrlPr>
                  </m:dPr>
                  <m:e>
                    <m:r>
                      <w:rPr>
                        <w:rFonts w:ascii="Cambria Math" w:hAnsi="Cambria Math"/>
                      </w:rPr>
                      <m:t>p+1</m:t>
                    </m:r>
                  </m:e>
                </m:d>
                <m:r>
                  <w:rPr>
                    <w:rFonts w:ascii="Cambria Math" w:hAnsi="Cambria Math"/>
                  </w:rPr>
                  <m:t>×m</m:t>
                </m:r>
              </m:e>
            </m:d>
          </m:lim>
        </m:limLow>
        <m:r>
          <m:rPr>
            <m:sty m:val="b"/>
          </m:rPr>
          <w:rPr>
            <w:rFonts w:ascii="Cambria Math" w:hAnsi="Cambria Math"/>
          </w:rPr>
          <m:t>+</m:t>
        </m:r>
        <m:limLow>
          <m:limLowPr>
            <m:ctrlPr>
              <w:rPr>
                <w:rFonts w:ascii="Cambria Math" w:hAnsi="Cambria Math"/>
                <w:b/>
                <w:bCs/>
                <w:iCs/>
              </w:rPr>
            </m:ctrlPr>
          </m:limLowPr>
          <m:e>
            <m:groupChr>
              <m:groupChrPr>
                <m:ctrlPr>
                  <w:rPr>
                    <w:rFonts w:ascii="Cambria Math" w:hAnsi="Cambria Math"/>
                    <w:b/>
                    <w:bCs/>
                    <w:iCs/>
                  </w:rPr>
                </m:ctrlPr>
              </m:groupChrPr>
              <m:e>
                <m:r>
                  <m:rPr>
                    <m:sty m:val="b"/>
                  </m:rPr>
                  <w:rPr>
                    <w:rFonts w:ascii="Cambria Math" w:hAnsi="Cambria Math"/>
                  </w:rPr>
                  <m:t>ε</m:t>
                </m:r>
              </m:e>
            </m:groupChr>
          </m:e>
          <m:lim>
            <m:d>
              <m:dPr>
                <m:ctrlPr>
                  <w:rPr>
                    <w:rFonts w:ascii="Cambria Math" w:hAnsi="Cambria Math"/>
                    <w:b/>
                    <w:bCs/>
                    <w:i/>
                    <w:iCs/>
                  </w:rPr>
                </m:ctrlPr>
              </m:dPr>
              <m:e>
                <m:r>
                  <w:rPr>
                    <w:rFonts w:ascii="Cambria Math" w:hAnsi="Cambria Math"/>
                  </w:rPr>
                  <m:t>n×m</m:t>
                </m:r>
              </m:e>
            </m:d>
          </m:lim>
        </m:limLow>
      </m:oMath>
      <w:r w:rsidR="00E85626">
        <w:rPr>
          <w:b/>
          <w:bCs/>
          <w:iCs/>
        </w:rPr>
        <w:tab/>
      </w:r>
      <w:r w:rsidR="00E85626">
        <w:rPr>
          <w:b/>
          <w:bCs/>
          <w:iCs/>
        </w:rPr>
        <w:tab/>
      </w:r>
      <w:r w:rsidR="00E85626">
        <w:rPr>
          <w:b/>
          <w:bCs/>
          <w:iCs/>
        </w:rPr>
        <w:tab/>
      </w:r>
      <w:r w:rsidR="00E85626">
        <w:rPr>
          <w:b/>
          <w:bCs/>
          <w:iCs/>
        </w:rPr>
        <w:tab/>
      </w:r>
      <w:r w:rsidR="00E85626" w:rsidRPr="00E85626">
        <w:rPr>
          <w:iCs/>
        </w:rPr>
        <w:t>(1)</w:t>
      </w:r>
    </w:p>
    <w:p w14:paraId="5D3BB965" w14:textId="77777777" w:rsidR="00801402" w:rsidRDefault="00801402" w:rsidP="0033444D">
      <w:pPr>
        <w:jc w:val="both"/>
        <w:rPr>
          <w:color w:val="000000" w:themeColor="text1"/>
        </w:rPr>
      </w:pPr>
    </w:p>
    <w:p w14:paraId="10463C4A" w14:textId="77777777" w:rsidR="00352E98" w:rsidRDefault="001D6C60" w:rsidP="0033444D">
      <w:pPr>
        <w:jc w:val="both"/>
        <w:rPr>
          <w:iCs/>
        </w:rPr>
      </w:pPr>
      <w:r w:rsidRPr="00D74BD9">
        <w:rPr>
          <w:color w:val="000000" w:themeColor="text1"/>
        </w:rPr>
        <w:t xml:space="preserve">where </w:t>
      </w:r>
      <m:oMath>
        <m:r>
          <m:rPr>
            <m:sty m:val="b"/>
          </m:rPr>
          <w:rPr>
            <w:rFonts w:ascii="Cambria Math" w:hAnsi="Cambria Math"/>
            <w:color w:val="000000" w:themeColor="text1"/>
          </w:rPr>
          <m:t>Y</m:t>
        </m:r>
      </m:oMath>
      <w:r w:rsidRPr="00D74BD9">
        <w:rPr>
          <w:color w:val="000000" w:themeColor="text1"/>
        </w:rPr>
        <w:t xml:space="preserve"> </w:t>
      </w:r>
      <w:r w:rsidR="00F368CF" w:rsidRPr="00D74BD9">
        <w:rPr>
          <w:color w:val="000000" w:themeColor="text1"/>
        </w:rPr>
        <w:t>is the</w:t>
      </w:r>
      <w:r w:rsidR="00EB6F3D">
        <w:rPr>
          <w:color w:val="000000" w:themeColor="text1"/>
        </w:rPr>
        <w:t xml:space="preserve"> responses matrix</w:t>
      </w:r>
      <w:r w:rsidR="000C4EB0">
        <w:rPr>
          <w:color w:val="000000" w:themeColor="text1"/>
        </w:rPr>
        <w:t xml:space="preserve"> with </w:t>
      </w:r>
      <m:oMath>
        <m:r>
          <w:rPr>
            <w:rFonts w:ascii="Cambria Math" w:hAnsi="Cambria Math"/>
            <w:color w:val="000000" w:themeColor="text1"/>
          </w:rPr>
          <m:t>n</m:t>
        </m:r>
      </m:oMath>
      <w:r w:rsidR="000C4EB0">
        <w:rPr>
          <w:color w:val="000000" w:themeColor="text1"/>
        </w:rPr>
        <w:t xml:space="preserve"> observations and </w:t>
      </w:r>
      <m:oMath>
        <m:r>
          <w:rPr>
            <w:rFonts w:ascii="Cambria Math" w:hAnsi="Cambria Math"/>
            <w:color w:val="000000" w:themeColor="text1"/>
          </w:rPr>
          <m:t>m</m:t>
        </m:r>
      </m:oMath>
      <w:r w:rsidR="000C4EB0">
        <w:rPr>
          <w:color w:val="000000" w:themeColor="text1"/>
        </w:rPr>
        <w:t xml:space="preserve"> responses, </w:t>
      </w:r>
      <m:oMath>
        <m:r>
          <m:rPr>
            <m:sty m:val="b"/>
          </m:rPr>
          <w:rPr>
            <w:rFonts w:ascii="Cambria Math" w:hAnsi="Cambria Math"/>
            <w:color w:val="000000" w:themeColor="text1"/>
          </w:rPr>
          <m:t>X</m:t>
        </m:r>
      </m:oMath>
      <w:r w:rsidR="00F368CF" w:rsidRPr="00D74BD9">
        <w:rPr>
          <w:color w:val="000000" w:themeColor="text1"/>
        </w:rPr>
        <w:t xml:space="preserve"> </w:t>
      </w:r>
      <w:r w:rsidR="000C4EB0">
        <w:rPr>
          <w:color w:val="000000" w:themeColor="text1"/>
        </w:rPr>
        <w:t xml:space="preserve">is the design matrix where the </w:t>
      </w:r>
      <m:oMath>
        <m:r>
          <w:rPr>
            <w:rFonts w:ascii="Cambria Math" w:hAnsi="Cambria Math"/>
            <w:color w:val="000000" w:themeColor="text1"/>
          </w:rPr>
          <m:t>n</m:t>
        </m:r>
      </m:oMath>
      <w:r w:rsidR="000C4EB0">
        <w:rPr>
          <w:color w:val="000000" w:themeColor="text1"/>
        </w:rPr>
        <w:t xml:space="preserve"> values of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p</m:t>
            </m:r>
          </m:sub>
        </m:sSub>
      </m:oMath>
      <w:r w:rsidR="000C4EB0">
        <w:rPr>
          <w:color w:val="000000" w:themeColor="text1"/>
        </w:rPr>
        <w:t xml:space="preserve"> can be placed as the </w:t>
      </w:r>
      <m:oMath>
        <m:r>
          <m:rPr>
            <m:sty m:val="b"/>
          </m:rPr>
          <w:rPr>
            <w:rFonts w:ascii="Cambria Math" w:hAnsi="Cambria Math"/>
            <w:color w:val="000000" w:themeColor="text1"/>
          </w:rPr>
          <m:t>X</m:t>
        </m:r>
      </m:oMath>
      <w:r w:rsidR="000C4EB0">
        <w:rPr>
          <w:b/>
          <w:bCs/>
          <w:iCs/>
          <w:color w:val="000000" w:themeColor="text1"/>
        </w:rPr>
        <w:t xml:space="preserve"> </w:t>
      </w:r>
      <w:r w:rsidR="000C4EB0">
        <w:rPr>
          <w:color w:val="000000" w:themeColor="text1"/>
        </w:rPr>
        <w:t xml:space="preserve">matrix </w:t>
      </w:r>
      <w:r w:rsidR="00F368CF" w:rsidRPr="00D74BD9">
        <w:rPr>
          <w:color w:val="000000" w:themeColor="text1"/>
        </w:rPr>
        <w:t xml:space="preserve">, </w:t>
      </w:r>
      <m:oMath>
        <m:r>
          <m:rPr>
            <m:sty m:val="b"/>
          </m:rPr>
          <w:rPr>
            <w:rFonts w:ascii="Cambria Math" w:hAnsi="Cambria Math"/>
            <w:color w:val="000000" w:themeColor="text1"/>
          </w:rPr>
          <m:t>β</m:t>
        </m:r>
      </m:oMath>
      <w:r w:rsidR="00D348A1" w:rsidRPr="00D74BD9">
        <w:rPr>
          <w:b/>
          <w:bCs/>
          <w:iCs/>
          <w:color w:val="000000" w:themeColor="text1"/>
        </w:rPr>
        <w:t xml:space="preserve"> </w:t>
      </w:r>
      <w:r w:rsidR="00D348A1" w:rsidRPr="00D74BD9">
        <w:rPr>
          <w:iCs/>
          <w:color w:val="000000" w:themeColor="text1"/>
        </w:rPr>
        <w:t xml:space="preserve">is the </w:t>
      </w:r>
      <w:r w:rsidR="000C4EB0">
        <w:rPr>
          <w:iCs/>
          <w:color w:val="000000" w:themeColor="text1"/>
        </w:rPr>
        <w:t xml:space="preserve">regression coefficient matrix </w:t>
      </w:r>
      <w:r w:rsidR="000C4EB0">
        <w:rPr>
          <w:color w:val="000000" w:themeColor="text1"/>
        </w:rPr>
        <w:t xml:space="preserve"> and </w:t>
      </w:r>
      <m:oMath>
        <m:r>
          <m:rPr>
            <m:sty m:val="b"/>
          </m:rPr>
          <w:rPr>
            <w:rFonts w:ascii="Cambria Math" w:hAnsi="Cambria Math"/>
            <w:color w:val="000000" w:themeColor="text1"/>
          </w:rPr>
          <m:t>ε</m:t>
        </m:r>
      </m:oMath>
      <w:r w:rsidR="000C4EB0">
        <w:rPr>
          <w:b/>
          <w:bCs/>
          <w:iCs/>
          <w:color w:val="000000" w:themeColor="text1"/>
        </w:rPr>
        <w:t xml:space="preserve"> </w:t>
      </w:r>
      <w:r w:rsidR="000C4EB0" w:rsidRPr="000C4EB0">
        <w:rPr>
          <w:iCs/>
          <w:color w:val="000000" w:themeColor="text1"/>
        </w:rPr>
        <w:t>is</w:t>
      </w:r>
      <w:r w:rsidR="000C4EB0">
        <w:rPr>
          <w:b/>
          <w:bCs/>
          <w:iCs/>
          <w:color w:val="000000" w:themeColor="text1"/>
        </w:rPr>
        <w:t xml:space="preserve"> </w:t>
      </w:r>
      <w:r w:rsidR="000C4EB0" w:rsidRPr="000C4EB0">
        <w:rPr>
          <w:iCs/>
          <w:color w:val="000000" w:themeColor="text1"/>
        </w:rPr>
        <w:t>the error matrix</w:t>
      </w:r>
      <w:r w:rsidR="00F368CF">
        <w:rPr>
          <w:iCs/>
        </w:rPr>
        <w:t xml:space="preserve">. </w:t>
      </w:r>
    </w:p>
    <w:p w14:paraId="256B0B23" w14:textId="258A2485" w:rsidR="00304437" w:rsidRDefault="00F368CF" w:rsidP="003C76B9">
      <w:pPr>
        <w:ind w:firstLine="567"/>
        <w:jc w:val="both"/>
        <w:rPr>
          <w:iCs/>
          <w:color w:val="000000" w:themeColor="text1"/>
        </w:rPr>
      </w:pPr>
      <w:r>
        <w:rPr>
          <w:iCs/>
        </w:rPr>
        <w:t>The assumptions of model are</w:t>
      </w:r>
      <w:r w:rsidR="000C4EB0">
        <w:rPr>
          <w:iCs/>
        </w:rPr>
        <w:t xml:space="preserve"> </w:t>
      </w:r>
      <m:oMath>
        <m:r>
          <w:rPr>
            <w:rFonts w:ascii="Cambria Math" w:hAnsi="Cambria Math"/>
          </w:rPr>
          <m:t>E</m:t>
        </m:r>
        <m:d>
          <m:dPr>
            <m:ctrlPr>
              <w:rPr>
                <w:rFonts w:ascii="Cambria Math" w:hAnsi="Cambria Math"/>
                <w:i/>
              </w:rPr>
            </m:ctrlPr>
          </m:dPr>
          <m:e>
            <m:sSub>
              <m:sSubPr>
                <m:ctrlPr>
                  <w:rPr>
                    <w:rFonts w:ascii="Cambria Math" w:hAnsi="Cambria Math"/>
                    <w:b/>
                    <w:bCs/>
                    <w:iCs/>
                  </w:rPr>
                </m:ctrlPr>
              </m:sSubPr>
              <m:e>
                <m:r>
                  <m:rPr>
                    <m:sty m:val="b"/>
                  </m:rPr>
                  <w:rPr>
                    <w:rFonts w:ascii="Cambria Math" w:hAnsi="Cambria Math"/>
                  </w:rPr>
                  <m:t>ε</m:t>
                </m:r>
              </m:e>
              <m:sub>
                <m:d>
                  <m:dPr>
                    <m:ctrlPr>
                      <w:rPr>
                        <w:rFonts w:ascii="Cambria Math" w:hAnsi="Cambria Math"/>
                        <w:b/>
                        <w:bCs/>
                        <w:i/>
                        <w:iCs/>
                      </w:rPr>
                    </m:ctrlPr>
                  </m:dPr>
                  <m:e>
                    <m:r>
                      <w:rPr>
                        <w:rFonts w:ascii="Cambria Math" w:hAnsi="Cambria Math"/>
                      </w:rPr>
                      <m:t>i</m:t>
                    </m:r>
                  </m:e>
                </m:d>
              </m:sub>
            </m:sSub>
          </m:e>
        </m:d>
        <m:r>
          <w:rPr>
            <w:rFonts w:ascii="Cambria Math" w:hAnsi="Cambria Math"/>
          </w:rPr>
          <m:t>=</m:t>
        </m:r>
        <m:r>
          <m:rPr>
            <m:sty m:val="bi"/>
          </m:rPr>
          <w:rPr>
            <w:rFonts w:ascii="Cambria Math" w:hAnsi="Cambria Math"/>
          </w:rPr>
          <m:t>0</m:t>
        </m:r>
        <m:r>
          <m:rPr>
            <m:sty m:val="b"/>
          </m:rPr>
          <w:rPr>
            <w:rFonts w:ascii="Cambria Math" w:hAnsi="Cambria Math"/>
          </w:rPr>
          <m:t xml:space="preserve"> </m:t>
        </m:r>
      </m:oMath>
      <w:r w:rsidR="000C4EB0" w:rsidRPr="000C4EB0">
        <w:rPr>
          <w:iCs/>
        </w:rPr>
        <w:t>and</w:t>
      </w:r>
      <w:r w:rsidR="000C4EB0">
        <w:rPr>
          <w:b/>
          <w:bCs/>
          <w:iCs/>
        </w:rPr>
        <w:t xml:space="preserve"> </w:t>
      </w:r>
      <m:oMath>
        <m:r>
          <m:rPr>
            <m:sty m:val="p"/>
          </m:rPr>
          <w:rPr>
            <w:rFonts w:ascii="Cambria Math" w:hAnsi="Cambria Math"/>
          </w:rPr>
          <m:t>Cov</m:t>
        </m:r>
        <m:d>
          <m:dPr>
            <m:ctrlPr>
              <w:rPr>
                <w:rFonts w:ascii="Cambria Math" w:hAnsi="Cambria Math"/>
                <w:b/>
                <w:bCs/>
                <w:iCs/>
              </w:rPr>
            </m:ctrlPr>
          </m:dPr>
          <m:e>
            <m:sSub>
              <m:sSubPr>
                <m:ctrlPr>
                  <w:rPr>
                    <w:rFonts w:ascii="Cambria Math" w:hAnsi="Cambria Math"/>
                    <w:i/>
                    <w:iCs/>
                  </w:rPr>
                </m:ctrlPr>
              </m:sSubPr>
              <m:e>
                <m:r>
                  <m:rPr>
                    <m:sty m:val="b"/>
                  </m:rPr>
                  <w:rPr>
                    <w:rFonts w:ascii="Cambria Math" w:hAnsi="Cambria Math"/>
                  </w:rPr>
                  <m:t>ε</m:t>
                </m:r>
              </m:e>
              <m:sub>
                <m:d>
                  <m:dPr>
                    <m:ctrlPr>
                      <w:rPr>
                        <w:rFonts w:ascii="Cambria Math" w:hAnsi="Cambria Math"/>
                        <w:i/>
                        <w:iCs/>
                      </w:rPr>
                    </m:ctrlPr>
                  </m:dPr>
                  <m:e>
                    <m:r>
                      <w:rPr>
                        <w:rFonts w:ascii="Cambria Math" w:hAnsi="Cambria Math"/>
                      </w:rPr>
                      <m:t>i</m:t>
                    </m:r>
                  </m:e>
                </m:d>
              </m:sub>
            </m:sSub>
            <m:r>
              <w:rPr>
                <w:rFonts w:ascii="Cambria Math" w:hAnsi="Cambria Math"/>
              </w:rPr>
              <m:t>,</m:t>
            </m:r>
            <m:sSub>
              <m:sSubPr>
                <m:ctrlPr>
                  <w:rPr>
                    <w:rFonts w:ascii="Cambria Math" w:hAnsi="Cambria Math"/>
                    <w:b/>
                    <w:bCs/>
                  </w:rPr>
                </m:ctrlPr>
              </m:sSubPr>
              <m:e>
                <m:r>
                  <m:rPr>
                    <m:sty m:val="b"/>
                  </m:rPr>
                  <w:rPr>
                    <w:rFonts w:ascii="Cambria Math" w:hAnsi="Cambria Math"/>
                  </w:rPr>
                  <m:t>ε</m:t>
                </m:r>
              </m:e>
              <m:sub>
                <m:d>
                  <m:dPr>
                    <m:ctrlPr>
                      <w:rPr>
                        <w:rFonts w:ascii="Cambria Math" w:hAnsi="Cambria Math"/>
                        <w:b/>
                        <w:bCs/>
                      </w:rPr>
                    </m:ctrlPr>
                  </m:dPr>
                  <m:e>
                    <m:r>
                      <w:rPr>
                        <w:rFonts w:ascii="Cambria Math" w:hAnsi="Cambria Math"/>
                      </w:rPr>
                      <m:t>j</m:t>
                    </m:r>
                  </m:e>
                </m:d>
              </m:sub>
            </m:sSub>
          </m:e>
        </m:d>
        <m:r>
          <m:rPr>
            <m:sty m:val="bi"/>
          </m:rP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ik</m:t>
            </m:r>
          </m:sub>
        </m:sSub>
        <m:r>
          <m:rPr>
            <m:sty m:val="b"/>
          </m:rPr>
          <w:rPr>
            <w:rFonts w:ascii="Cambria Math" w:hAnsi="Cambria Math"/>
          </w:rPr>
          <m:t>I</m:t>
        </m:r>
      </m:oMath>
      <w:r w:rsidR="000C4EB0">
        <w:t xml:space="preserve">, </w:t>
      </w:r>
      <m:oMath>
        <m:r>
          <w:rPr>
            <w:rFonts w:ascii="Cambria Math" w:hAnsi="Cambria Math"/>
          </w:rPr>
          <m:t>i,k=1, 2,..,m</m:t>
        </m:r>
      </m:oMath>
      <w:r w:rsidR="00E74041">
        <w:t xml:space="preserve"> </w:t>
      </w:r>
      <w:r w:rsidR="00110F69">
        <w:t>[16]</w:t>
      </w:r>
      <w:r w:rsidR="00E74041" w:rsidRPr="00CE77F9">
        <w:rPr>
          <w:color w:val="FF0000"/>
        </w:rPr>
        <w:t>.</w:t>
      </w:r>
      <w:r w:rsidR="00E85626">
        <w:rPr>
          <w:color w:val="FF0000"/>
        </w:rPr>
        <w:t xml:space="preserve"> </w:t>
      </w:r>
      <w:r w:rsidR="00304437">
        <w:rPr>
          <w:color w:val="000000" w:themeColor="text1"/>
        </w:rPr>
        <w:t xml:space="preserve">Using analogy with the univariate least square estimate, the estimate of </w:t>
      </w:r>
      <m:oMath>
        <m:r>
          <m:rPr>
            <m:sty m:val="b"/>
          </m:rPr>
          <w:rPr>
            <w:rFonts w:ascii="Cambria Math" w:hAnsi="Cambria Math"/>
            <w:color w:val="000000" w:themeColor="text1"/>
          </w:rPr>
          <m:t>β</m:t>
        </m:r>
      </m:oMath>
      <w:r w:rsidR="00304437">
        <w:rPr>
          <w:b/>
          <w:bCs/>
          <w:iCs/>
          <w:color w:val="000000" w:themeColor="text1"/>
        </w:rPr>
        <w:t xml:space="preserve"> </w:t>
      </w:r>
      <w:r w:rsidR="00304437">
        <w:rPr>
          <w:iCs/>
          <w:color w:val="000000" w:themeColor="text1"/>
        </w:rPr>
        <w:t>is given below,</w:t>
      </w:r>
    </w:p>
    <w:p w14:paraId="356AC655" w14:textId="77777777" w:rsidR="00660B77" w:rsidRDefault="00660B77" w:rsidP="0033444D">
      <w:pPr>
        <w:jc w:val="both"/>
        <w:rPr>
          <w:iCs/>
          <w:color w:val="000000" w:themeColor="text1"/>
        </w:rPr>
      </w:pPr>
    </w:p>
    <w:p w14:paraId="14EDC7CD" w14:textId="1C0BF6C2" w:rsidR="00304437" w:rsidRPr="00304437" w:rsidRDefault="00D5251E" w:rsidP="004D489D">
      <w:pPr>
        <w:jc w:val="center"/>
        <w:rPr>
          <w:iCs/>
          <w:color w:val="000000" w:themeColor="text1"/>
        </w:rPr>
      </w:pPr>
      <m:oMath>
        <m:acc>
          <m:accPr>
            <m:ctrlPr>
              <w:rPr>
                <w:rFonts w:ascii="Cambria Math" w:hAnsi="Cambria Math"/>
                <w:i/>
                <w:iCs/>
                <w:color w:val="000000" w:themeColor="text1"/>
              </w:rPr>
            </m:ctrlPr>
          </m:accPr>
          <m:e>
            <m:r>
              <m:rPr>
                <m:sty m:val="b"/>
              </m:rPr>
              <w:rPr>
                <w:rFonts w:ascii="Cambria Math" w:hAnsi="Cambria Math"/>
                <w:color w:val="000000" w:themeColor="text1"/>
              </w:rPr>
              <m:t>β</m:t>
            </m:r>
          </m:e>
        </m:acc>
        <m:r>
          <w:rPr>
            <w:rFonts w:ascii="Cambria Math" w:hAnsi="Cambria Math"/>
            <w:color w:val="000000" w:themeColor="text1"/>
          </w:rPr>
          <m:t>=</m:t>
        </m:r>
        <m:d>
          <m:dPr>
            <m:begChr m:val="["/>
            <m:endChr m:val="]"/>
            <m:ctrlPr>
              <w:rPr>
                <w:rFonts w:ascii="Cambria Math" w:hAnsi="Cambria Math"/>
                <w:i/>
                <w:iCs/>
                <w:color w:val="000000" w:themeColor="text1"/>
              </w:rPr>
            </m:ctrlPr>
          </m:dPr>
          <m:e>
            <m:m>
              <m:mPr>
                <m:mcs>
                  <m:mc>
                    <m:mcPr>
                      <m:count m:val="3"/>
                      <m:mcJc m:val="center"/>
                    </m:mcPr>
                  </m:mc>
                </m:mcs>
                <m:ctrlPr>
                  <w:rPr>
                    <w:rFonts w:ascii="Cambria Math" w:hAnsi="Cambria Math"/>
                    <w:i/>
                    <w:iCs/>
                    <w:color w:val="000000" w:themeColor="text1"/>
                  </w:rPr>
                </m:ctrlPr>
              </m:mPr>
              <m:mr>
                <m:e>
                  <m:sSub>
                    <m:sSubPr>
                      <m:ctrlPr>
                        <w:rPr>
                          <w:rFonts w:ascii="Cambria Math" w:hAnsi="Cambria Math"/>
                          <w:i/>
                          <w:iCs/>
                          <w:color w:val="000000" w:themeColor="text1"/>
                        </w:rPr>
                      </m:ctrlPr>
                    </m:sSubPr>
                    <m:e>
                      <m:acc>
                        <m:accPr>
                          <m:ctrlPr>
                            <w:rPr>
                              <w:rFonts w:ascii="Cambria Math" w:hAnsi="Cambria Math"/>
                              <w:i/>
                              <w:iCs/>
                              <w:color w:val="000000" w:themeColor="text1"/>
                            </w:rPr>
                          </m:ctrlPr>
                        </m:accPr>
                        <m:e>
                          <m:r>
                            <m:rPr>
                              <m:sty m:val="b"/>
                            </m:rPr>
                            <w:rPr>
                              <w:rFonts w:ascii="Cambria Math" w:hAnsi="Cambria Math"/>
                              <w:color w:val="000000" w:themeColor="text1"/>
                            </w:rPr>
                            <m:t>β</m:t>
                          </m:r>
                        </m:e>
                      </m:acc>
                    </m:e>
                    <m:sub>
                      <m:d>
                        <m:dPr>
                          <m:ctrlPr>
                            <w:rPr>
                              <w:rFonts w:ascii="Cambria Math" w:hAnsi="Cambria Math"/>
                              <w:i/>
                              <w:iCs/>
                              <w:color w:val="000000" w:themeColor="text1"/>
                            </w:rPr>
                          </m:ctrlPr>
                        </m:dPr>
                        <m:e>
                          <m:r>
                            <w:rPr>
                              <w:rFonts w:ascii="Cambria Math" w:hAnsi="Cambria Math"/>
                              <w:color w:val="000000" w:themeColor="text1"/>
                            </w:rPr>
                            <m:t>1</m:t>
                          </m:r>
                        </m:e>
                      </m:d>
                    </m:sub>
                  </m:sSub>
                  <m:r>
                    <w:rPr>
                      <w:rFonts w:ascii="Cambria Math" w:hAnsi="Cambria Math"/>
                      <w:color w:val="000000" w:themeColor="text1"/>
                    </w:rPr>
                    <m:t>⋮</m:t>
                  </m:r>
                </m:e>
                <m:e>
                  <m:r>
                    <w:rPr>
                      <w:rFonts w:ascii="Cambria Math" w:hAnsi="Cambria Math"/>
                      <w:color w:val="000000" w:themeColor="text1"/>
                    </w:rPr>
                    <m:t xml:space="preserve"> </m:t>
                  </m:r>
                  <m:sSub>
                    <m:sSubPr>
                      <m:ctrlPr>
                        <w:rPr>
                          <w:rFonts w:ascii="Cambria Math" w:hAnsi="Cambria Math"/>
                          <w:i/>
                          <w:iCs/>
                          <w:color w:val="000000" w:themeColor="text1"/>
                        </w:rPr>
                      </m:ctrlPr>
                    </m:sSubPr>
                    <m:e>
                      <m:acc>
                        <m:accPr>
                          <m:ctrlPr>
                            <w:rPr>
                              <w:rFonts w:ascii="Cambria Math" w:hAnsi="Cambria Math"/>
                              <w:i/>
                              <w:iCs/>
                              <w:color w:val="000000" w:themeColor="text1"/>
                            </w:rPr>
                          </m:ctrlPr>
                        </m:accPr>
                        <m:e>
                          <m:r>
                            <m:rPr>
                              <m:sty m:val="b"/>
                            </m:rPr>
                            <w:rPr>
                              <w:rFonts w:ascii="Cambria Math" w:hAnsi="Cambria Math"/>
                              <w:color w:val="000000" w:themeColor="text1"/>
                            </w:rPr>
                            <m:t>β</m:t>
                          </m:r>
                        </m:e>
                      </m:acc>
                    </m:e>
                    <m:sub>
                      <m:d>
                        <m:dPr>
                          <m:ctrlPr>
                            <w:rPr>
                              <w:rFonts w:ascii="Cambria Math" w:hAnsi="Cambria Math"/>
                              <w:i/>
                              <w:iCs/>
                              <w:color w:val="000000" w:themeColor="text1"/>
                            </w:rPr>
                          </m:ctrlPr>
                        </m:dPr>
                        <m:e>
                          <m:r>
                            <w:rPr>
                              <w:rFonts w:ascii="Cambria Math" w:hAnsi="Cambria Math"/>
                              <w:color w:val="000000" w:themeColor="text1"/>
                            </w:rPr>
                            <m:t>2</m:t>
                          </m:r>
                        </m:e>
                      </m:d>
                    </m:sub>
                  </m:sSub>
                  <m:r>
                    <w:rPr>
                      <w:rFonts w:ascii="Cambria Math" w:hAnsi="Cambria Math"/>
                      <w:color w:val="000000" w:themeColor="text1"/>
                    </w:rPr>
                    <m:t>⋮⋯</m:t>
                  </m:r>
                </m:e>
                <m:e>
                  <m:r>
                    <w:rPr>
                      <w:rFonts w:ascii="Cambria Math" w:hAnsi="Cambria Math"/>
                      <w:color w:val="000000" w:themeColor="text1"/>
                    </w:rPr>
                    <m:t>⋮</m:t>
                  </m:r>
                </m:e>
              </m:mr>
            </m:m>
            <m:r>
              <w:rPr>
                <w:rFonts w:ascii="Cambria Math" w:hAnsi="Cambria Math"/>
                <w:color w:val="000000" w:themeColor="text1"/>
              </w:rPr>
              <m:t xml:space="preserve"> </m:t>
            </m:r>
            <m:sSub>
              <m:sSubPr>
                <m:ctrlPr>
                  <w:rPr>
                    <w:rFonts w:ascii="Cambria Math" w:hAnsi="Cambria Math"/>
                    <w:i/>
                    <w:iCs/>
                    <w:color w:val="000000" w:themeColor="text1"/>
                  </w:rPr>
                </m:ctrlPr>
              </m:sSubPr>
              <m:e>
                <m:acc>
                  <m:accPr>
                    <m:ctrlPr>
                      <w:rPr>
                        <w:rFonts w:ascii="Cambria Math" w:hAnsi="Cambria Math"/>
                        <w:i/>
                        <w:iCs/>
                        <w:color w:val="000000" w:themeColor="text1"/>
                      </w:rPr>
                    </m:ctrlPr>
                  </m:accPr>
                  <m:e>
                    <m:r>
                      <m:rPr>
                        <m:sty m:val="b"/>
                      </m:rPr>
                      <w:rPr>
                        <w:rFonts w:ascii="Cambria Math" w:hAnsi="Cambria Math"/>
                        <w:color w:val="000000" w:themeColor="text1"/>
                      </w:rPr>
                      <m:t>β</m:t>
                    </m:r>
                  </m:e>
                </m:acc>
              </m:e>
              <m:sub>
                <m:d>
                  <m:dPr>
                    <m:ctrlPr>
                      <w:rPr>
                        <w:rFonts w:ascii="Cambria Math" w:hAnsi="Cambria Math"/>
                        <w:i/>
                        <w:iCs/>
                        <w:color w:val="000000" w:themeColor="text1"/>
                      </w:rPr>
                    </m:ctrlPr>
                  </m:dPr>
                  <m:e>
                    <m:r>
                      <w:rPr>
                        <w:rFonts w:ascii="Cambria Math" w:hAnsi="Cambria Math"/>
                        <w:color w:val="000000" w:themeColor="text1"/>
                      </w:rPr>
                      <m:t>m</m:t>
                    </m:r>
                  </m:e>
                </m:d>
              </m:sub>
            </m:sSub>
          </m:e>
        </m:d>
        <m:r>
          <w:rPr>
            <w:rFonts w:ascii="Cambria Math" w:hAnsi="Cambria Math"/>
            <w:color w:val="000000" w:themeColor="text1"/>
          </w:rPr>
          <m:t>=</m:t>
        </m:r>
        <m:sSup>
          <m:sSupPr>
            <m:ctrlPr>
              <w:rPr>
                <w:rFonts w:ascii="Cambria Math" w:hAnsi="Cambria Math"/>
                <w:i/>
                <w:iCs/>
                <w:color w:val="000000" w:themeColor="text1"/>
              </w:rPr>
            </m:ctrlPr>
          </m:sSupPr>
          <m:e>
            <m:d>
              <m:dPr>
                <m:ctrlPr>
                  <w:rPr>
                    <w:rFonts w:ascii="Cambria Math" w:hAnsi="Cambria Math"/>
                    <w:i/>
                    <w:iCs/>
                    <w:color w:val="000000" w:themeColor="text1"/>
                  </w:rPr>
                </m:ctrlPr>
              </m:dPr>
              <m:e>
                <m:sSup>
                  <m:sSupPr>
                    <m:ctrlPr>
                      <w:rPr>
                        <w:rFonts w:ascii="Cambria Math" w:hAnsi="Cambria Math"/>
                        <w:b/>
                        <w:bCs/>
                        <w:color w:val="000000" w:themeColor="text1"/>
                      </w:rPr>
                    </m:ctrlPr>
                  </m:sSupPr>
                  <m:e>
                    <m:r>
                      <m:rPr>
                        <m:sty m:val="b"/>
                      </m:rPr>
                      <w:rPr>
                        <w:rFonts w:ascii="Cambria Math" w:hAnsi="Cambria Math"/>
                        <w:color w:val="000000" w:themeColor="text1"/>
                      </w:rPr>
                      <m:t>X</m:t>
                    </m:r>
                  </m:e>
                  <m:sup>
                    <m:r>
                      <m:rPr>
                        <m:sty m:val="b"/>
                      </m:rPr>
                      <w:rPr>
                        <w:rFonts w:ascii="Cambria Math" w:hAnsi="Cambria Math"/>
                        <w:color w:val="000000" w:themeColor="text1"/>
                      </w:rPr>
                      <m:t>'</m:t>
                    </m:r>
                  </m:sup>
                </m:sSup>
                <m:r>
                  <m:rPr>
                    <m:sty m:val="b"/>
                  </m:rPr>
                  <w:rPr>
                    <w:rFonts w:ascii="Cambria Math" w:hAnsi="Cambria Math"/>
                    <w:color w:val="000000" w:themeColor="text1"/>
                  </w:rPr>
                  <m:t>X</m:t>
                </m:r>
              </m:e>
            </m:d>
          </m:e>
          <m:sup>
            <m:r>
              <w:rPr>
                <w:rFonts w:ascii="Cambria Math" w:hAnsi="Cambria Math"/>
                <w:color w:val="000000" w:themeColor="text1"/>
              </w:rPr>
              <m:t>-1</m:t>
            </m:r>
          </m:sup>
        </m:sSup>
        <m:r>
          <m:rPr>
            <m:sty m:val="b"/>
          </m:rPr>
          <w:rPr>
            <w:rFonts w:ascii="Cambria Math" w:hAnsi="Cambria Math"/>
            <w:color w:val="000000" w:themeColor="text1"/>
          </w:rPr>
          <m:t>X'</m:t>
        </m:r>
        <m:d>
          <m:dPr>
            <m:begChr m:val="["/>
            <m:endChr m:val="]"/>
            <m:ctrlPr>
              <w:rPr>
                <w:rFonts w:ascii="Cambria Math" w:hAnsi="Cambria Math"/>
                <w:i/>
                <w:iCs/>
                <w:color w:val="000000" w:themeColor="text1"/>
              </w:rPr>
            </m:ctrlPr>
          </m:dPr>
          <m:e>
            <m:m>
              <m:mPr>
                <m:mcs>
                  <m:mc>
                    <m:mcPr>
                      <m:count m:val="3"/>
                      <m:mcJc m:val="center"/>
                    </m:mcPr>
                  </m:mc>
                </m:mcs>
                <m:ctrlPr>
                  <w:rPr>
                    <w:rFonts w:ascii="Cambria Math" w:hAnsi="Cambria Math"/>
                    <w:i/>
                    <w:iCs/>
                    <w:color w:val="000000" w:themeColor="text1"/>
                  </w:rPr>
                </m:ctrlPr>
              </m:mPr>
              <m:mr>
                <m:e>
                  <m:sSub>
                    <m:sSubPr>
                      <m:ctrlPr>
                        <w:rPr>
                          <w:rFonts w:ascii="Cambria Math" w:hAnsi="Cambria Math"/>
                          <w:i/>
                          <w:iCs/>
                          <w:color w:val="000000" w:themeColor="text1"/>
                        </w:rPr>
                      </m:ctrlPr>
                    </m:sSubPr>
                    <m:e>
                      <m:r>
                        <m:rPr>
                          <m:sty m:val="b"/>
                        </m:rPr>
                        <w:rPr>
                          <w:rFonts w:ascii="Cambria Math" w:hAnsi="Cambria Math"/>
                          <w:color w:val="000000" w:themeColor="text1"/>
                        </w:rPr>
                        <m:t>Y</m:t>
                      </m:r>
                    </m:e>
                    <m:sub>
                      <m:d>
                        <m:dPr>
                          <m:ctrlPr>
                            <w:rPr>
                              <w:rFonts w:ascii="Cambria Math" w:hAnsi="Cambria Math"/>
                              <w:i/>
                              <w:iCs/>
                              <w:color w:val="000000" w:themeColor="text1"/>
                            </w:rPr>
                          </m:ctrlPr>
                        </m:dPr>
                        <m:e>
                          <m:r>
                            <w:rPr>
                              <w:rFonts w:ascii="Cambria Math" w:hAnsi="Cambria Math"/>
                              <w:color w:val="000000" w:themeColor="text1"/>
                            </w:rPr>
                            <m:t>1</m:t>
                          </m:r>
                        </m:e>
                      </m:d>
                    </m:sub>
                  </m:sSub>
                  <m:r>
                    <w:rPr>
                      <w:rFonts w:ascii="Cambria Math" w:hAnsi="Cambria Math"/>
                      <w:color w:val="000000" w:themeColor="text1"/>
                    </w:rPr>
                    <m:t>⋮</m:t>
                  </m:r>
                </m:e>
                <m:e>
                  <m:r>
                    <w:rPr>
                      <w:rFonts w:ascii="Cambria Math" w:hAnsi="Cambria Math"/>
                      <w:color w:val="000000" w:themeColor="text1"/>
                    </w:rPr>
                    <m:t xml:space="preserve"> </m:t>
                  </m:r>
                  <m:sSub>
                    <m:sSubPr>
                      <m:ctrlPr>
                        <w:rPr>
                          <w:rFonts w:ascii="Cambria Math" w:hAnsi="Cambria Math"/>
                          <w:i/>
                          <w:iCs/>
                          <w:color w:val="000000" w:themeColor="text1"/>
                        </w:rPr>
                      </m:ctrlPr>
                    </m:sSubPr>
                    <m:e>
                      <m:r>
                        <m:rPr>
                          <m:sty m:val="b"/>
                        </m:rPr>
                        <w:rPr>
                          <w:rFonts w:ascii="Cambria Math" w:hAnsi="Cambria Math"/>
                          <w:color w:val="000000" w:themeColor="text1"/>
                        </w:rPr>
                        <m:t>Y</m:t>
                      </m:r>
                    </m:e>
                    <m:sub>
                      <m:d>
                        <m:dPr>
                          <m:ctrlPr>
                            <w:rPr>
                              <w:rFonts w:ascii="Cambria Math" w:hAnsi="Cambria Math"/>
                              <w:i/>
                              <w:iCs/>
                              <w:color w:val="000000" w:themeColor="text1"/>
                            </w:rPr>
                          </m:ctrlPr>
                        </m:dPr>
                        <m:e>
                          <m:r>
                            <w:rPr>
                              <w:rFonts w:ascii="Cambria Math" w:hAnsi="Cambria Math"/>
                              <w:color w:val="000000" w:themeColor="text1"/>
                            </w:rPr>
                            <m:t>2</m:t>
                          </m:r>
                        </m:e>
                      </m:d>
                    </m:sub>
                  </m:sSub>
                  <m:r>
                    <w:rPr>
                      <w:rFonts w:ascii="Cambria Math" w:hAnsi="Cambria Math"/>
                      <w:color w:val="000000" w:themeColor="text1"/>
                    </w:rPr>
                    <m:t>⋮⋯</m:t>
                  </m:r>
                </m:e>
                <m:e>
                  <m:r>
                    <w:rPr>
                      <w:rFonts w:ascii="Cambria Math" w:hAnsi="Cambria Math"/>
                      <w:color w:val="000000" w:themeColor="text1"/>
                    </w:rPr>
                    <m:t>⋮</m:t>
                  </m:r>
                </m:e>
              </m:mr>
            </m:m>
            <m:r>
              <w:rPr>
                <w:rFonts w:ascii="Cambria Math" w:hAnsi="Cambria Math"/>
                <w:color w:val="000000" w:themeColor="text1"/>
              </w:rPr>
              <m:t xml:space="preserve"> </m:t>
            </m:r>
            <m:sSub>
              <m:sSubPr>
                <m:ctrlPr>
                  <w:rPr>
                    <w:rFonts w:ascii="Cambria Math" w:hAnsi="Cambria Math"/>
                    <w:i/>
                    <w:iCs/>
                    <w:color w:val="000000" w:themeColor="text1"/>
                  </w:rPr>
                </m:ctrlPr>
              </m:sSubPr>
              <m:e>
                <m:r>
                  <m:rPr>
                    <m:sty m:val="b"/>
                  </m:rPr>
                  <w:rPr>
                    <w:rFonts w:ascii="Cambria Math" w:hAnsi="Cambria Math"/>
                    <w:color w:val="000000" w:themeColor="text1"/>
                  </w:rPr>
                  <m:t>Y</m:t>
                </m:r>
              </m:e>
              <m:sub>
                <m:d>
                  <m:dPr>
                    <m:ctrlPr>
                      <w:rPr>
                        <w:rFonts w:ascii="Cambria Math" w:hAnsi="Cambria Math"/>
                        <w:i/>
                        <w:iCs/>
                        <w:color w:val="000000" w:themeColor="text1"/>
                      </w:rPr>
                    </m:ctrlPr>
                  </m:dPr>
                  <m:e>
                    <m:r>
                      <w:rPr>
                        <w:rFonts w:ascii="Cambria Math" w:hAnsi="Cambria Math"/>
                        <w:color w:val="000000" w:themeColor="text1"/>
                      </w:rPr>
                      <m:t>m</m:t>
                    </m:r>
                  </m:e>
                </m:d>
              </m:sub>
            </m:sSub>
          </m:e>
        </m:d>
        <m:r>
          <w:rPr>
            <w:rFonts w:ascii="Cambria Math" w:hAnsi="Cambria Math"/>
            <w:color w:val="000000" w:themeColor="text1"/>
          </w:rPr>
          <m:t>=</m:t>
        </m:r>
        <m:sSup>
          <m:sSupPr>
            <m:ctrlPr>
              <w:rPr>
                <w:rFonts w:ascii="Cambria Math" w:hAnsi="Cambria Math"/>
                <w:i/>
                <w:iCs/>
                <w:color w:val="000000" w:themeColor="text1"/>
              </w:rPr>
            </m:ctrlPr>
          </m:sSupPr>
          <m:e>
            <m:d>
              <m:dPr>
                <m:ctrlPr>
                  <w:rPr>
                    <w:rFonts w:ascii="Cambria Math" w:hAnsi="Cambria Math"/>
                    <w:i/>
                    <w:iCs/>
                    <w:color w:val="000000" w:themeColor="text1"/>
                  </w:rPr>
                </m:ctrlPr>
              </m:dPr>
              <m:e>
                <m:sSup>
                  <m:sSupPr>
                    <m:ctrlPr>
                      <w:rPr>
                        <w:rFonts w:ascii="Cambria Math" w:hAnsi="Cambria Math"/>
                        <w:b/>
                        <w:bCs/>
                        <w:color w:val="000000" w:themeColor="text1"/>
                      </w:rPr>
                    </m:ctrlPr>
                  </m:sSupPr>
                  <m:e>
                    <m:r>
                      <m:rPr>
                        <m:sty m:val="b"/>
                      </m:rPr>
                      <w:rPr>
                        <w:rFonts w:ascii="Cambria Math" w:hAnsi="Cambria Math"/>
                        <w:color w:val="000000" w:themeColor="text1"/>
                      </w:rPr>
                      <m:t>X</m:t>
                    </m:r>
                  </m:e>
                  <m:sup>
                    <m:r>
                      <m:rPr>
                        <m:sty m:val="b"/>
                      </m:rPr>
                      <w:rPr>
                        <w:rFonts w:ascii="Cambria Math" w:hAnsi="Cambria Math"/>
                        <w:color w:val="000000" w:themeColor="text1"/>
                      </w:rPr>
                      <m:t>'</m:t>
                    </m:r>
                  </m:sup>
                </m:sSup>
                <m:r>
                  <m:rPr>
                    <m:sty m:val="b"/>
                  </m:rPr>
                  <w:rPr>
                    <w:rFonts w:ascii="Cambria Math" w:hAnsi="Cambria Math"/>
                    <w:color w:val="000000" w:themeColor="text1"/>
                  </w:rPr>
                  <m:t>X</m:t>
                </m:r>
              </m:e>
            </m:d>
          </m:e>
          <m:sup>
            <m:r>
              <w:rPr>
                <w:rFonts w:ascii="Cambria Math" w:hAnsi="Cambria Math"/>
                <w:color w:val="000000" w:themeColor="text1"/>
              </w:rPr>
              <m:t>-1</m:t>
            </m:r>
          </m:sup>
        </m:sSup>
        <m:r>
          <m:rPr>
            <m:sty m:val="b"/>
          </m:rPr>
          <w:rPr>
            <w:rFonts w:ascii="Cambria Math" w:hAnsi="Cambria Math"/>
            <w:color w:val="000000" w:themeColor="text1"/>
          </w:rPr>
          <m:t>X'Y</m:t>
        </m:r>
      </m:oMath>
      <w:r w:rsidR="004D489D" w:rsidRPr="004D489D">
        <w:rPr>
          <w:color w:val="000000" w:themeColor="text1"/>
        </w:rPr>
        <w:t>.</w:t>
      </w:r>
      <w:r w:rsidR="004D489D">
        <w:rPr>
          <w:color w:val="000000" w:themeColor="text1"/>
        </w:rPr>
        <w:t xml:space="preserve">      </w:t>
      </w:r>
      <w:r w:rsidR="00304437">
        <w:rPr>
          <w:color w:val="000000" w:themeColor="text1"/>
        </w:rPr>
        <w:t>(2)</w:t>
      </w:r>
    </w:p>
    <w:p w14:paraId="169A3833" w14:textId="77777777" w:rsidR="00660B77" w:rsidRDefault="00660B77" w:rsidP="0033444D">
      <w:pPr>
        <w:jc w:val="both"/>
      </w:pPr>
    </w:p>
    <w:p w14:paraId="728C81B4" w14:textId="5890832F" w:rsidR="004D489D" w:rsidRDefault="004D489D" w:rsidP="0033444D">
      <w:pPr>
        <w:jc w:val="both"/>
      </w:pPr>
      <w:r w:rsidRPr="004D489D">
        <w:t xml:space="preserve">The </w:t>
      </w:r>
      <w:r>
        <w:t xml:space="preserve">matrices of the predicted values and residuals can be obtained using the least square estimates </w:t>
      </w:r>
      <m:oMath>
        <m:acc>
          <m:accPr>
            <m:ctrlPr>
              <w:rPr>
                <w:rFonts w:ascii="Cambria Math" w:hAnsi="Cambria Math"/>
                <w:i/>
                <w:iCs/>
                <w:color w:val="000000" w:themeColor="text1"/>
              </w:rPr>
            </m:ctrlPr>
          </m:accPr>
          <m:e>
            <m:r>
              <m:rPr>
                <m:sty m:val="b"/>
              </m:rPr>
              <w:rPr>
                <w:rFonts w:ascii="Cambria Math" w:hAnsi="Cambria Math"/>
                <w:color w:val="000000" w:themeColor="text1"/>
              </w:rPr>
              <m:t>β</m:t>
            </m:r>
          </m:e>
        </m:acc>
      </m:oMath>
      <w:r w:rsidR="00832051">
        <w:t xml:space="preserve"> as follows,</w:t>
      </w:r>
    </w:p>
    <w:p w14:paraId="7C3EF717" w14:textId="77777777" w:rsidR="00660B77" w:rsidRDefault="00660B77" w:rsidP="0033444D">
      <w:pPr>
        <w:jc w:val="both"/>
      </w:pPr>
    </w:p>
    <w:p w14:paraId="0841B371" w14:textId="6BE009DD" w:rsidR="004D489D" w:rsidRDefault="004D489D" w:rsidP="0033444D">
      <w:pPr>
        <w:jc w:val="both"/>
      </w:pPr>
      <w:r>
        <w:tab/>
      </w:r>
      <w:r w:rsidR="005B6145">
        <w:t>p</w:t>
      </w:r>
      <w:r>
        <w:t xml:space="preserve">redicted values: </w:t>
      </w:r>
      <m:oMath>
        <m:acc>
          <m:accPr>
            <m:ctrlPr>
              <w:rPr>
                <w:rFonts w:ascii="Cambria Math" w:hAnsi="Cambria Math"/>
                <w:i/>
              </w:rPr>
            </m:ctrlPr>
          </m:accPr>
          <m:e>
            <m:r>
              <m:rPr>
                <m:sty m:val="b"/>
              </m:rPr>
              <w:rPr>
                <w:rFonts w:ascii="Cambria Math" w:hAnsi="Cambria Math"/>
              </w:rPr>
              <m:t>Y</m:t>
            </m:r>
          </m:e>
        </m:acc>
        <m:r>
          <w:rPr>
            <w:rFonts w:ascii="Cambria Math" w:hAnsi="Cambria Math"/>
          </w:rPr>
          <m:t>=</m:t>
        </m:r>
        <m:r>
          <m:rPr>
            <m:sty m:val="b"/>
          </m:rPr>
          <w:rPr>
            <w:rFonts w:ascii="Cambria Math" w:hAnsi="Cambria Math"/>
          </w:rPr>
          <m:t>X</m:t>
        </m:r>
        <m:acc>
          <m:accPr>
            <m:ctrlPr>
              <w:rPr>
                <w:rFonts w:ascii="Cambria Math" w:hAnsi="Cambria Math"/>
                <w:i/>
                <w:iCs/>
                <w:color w:val="000000" w:themeColor="text1"/>
              </w:rPr>
            </m:ctrlPr>
          </m:accPr>
          <m:e>
            <m:r>
              <m:rPr>
                <m:sty m:val="b"/>
              </m:rPr>
              <w:rPr>
                <w:rFonts w:ascii="Cambria Math" w:hAnsi="Cambria Math"/>
                <w:color w:val="000000" w:themeColor="text1"/>
              </w:rPr>
              <m:t>β</m:t>
            </m:r>
          </m:e>
        </m:acc>
        <m:r>
          <w:rPr>
            <w:rFonts w:ascii="Cambria Math" w:hAnsi="Cambria Math"/>
            <w:color w:val="000000" w:themeColor="text1"/>
          </w:rPr>
          <m:t>=</m:t>
        </m:r>
        <m:r>
          <m:rPr>
            <m:sty m:val="b"/>
          </m:rPr>
          <w:rPr>
            <w:rFonts w:ascii="Cambria Math" w:hAnsi="Cambria Math"/>
          </w:rPr>
          <m:t>X</m:t>
        </m:r>
        <m:sSup>
          <m:sSupPr>
            <m:ctrlPr>
              <w:rPr>
                <w:rFonts w:ascii="Cambria Math" w:hAnsi="Cambria Math"/>
                <w:i/>
                <w:iCs/>
                <w:color w:val="000000" w:themeColor="text1"/>
              </w:rPr>
            </m:ctrlPr>
          </m:sSupPr>
          <m:e>
            <m:d>
              <m:dPr>
                <m:ctrlPr>
                  <w:rPr>
                    <w:rFonts w:ascii="Cambria Math" w:hAnsi="Cambria Math"/>
                    <w:i/>
                    <w:iCs/>
                    <w:color w:val="000000" w:themeColor="text1"/>
                  </w:rPr>
                </m:ctrlPr>
              </m:dPr>
              <m:e>
                <m:sSup>
                  <m:sSupPr>
                    <m:ctrlPr>
                      <w:rPr>
                        <w:rFonts w:ascii="Cambria Math" w:hAnsi="Cambria Math"/>
                        <w:b/>
                        <w:bCs/>
                        <w:color w:val="000000" w:themeColor="text1"/>
                      </w:rPr>
                    </m:ctrlPr>
                  </m:sSupPr>
                  <m:e>
                    <m:r>
                      <m:rPr>
                        <m:sty m:val="b"/>
                      </m:rPr>
                      <w:rPr>
                        <w:rFonts w:ascii="Cambria Math" w:hAnsi="Cambria Math"/>
                        <w:color w:val="000000" w:themeColor="text1"/>
                      </w:rPr>
                      <m:t>X</m:t>
                    </m:r>
                  </m:e>
                  <m:sup>
                    <m:r>
                      <m:rPr>
                        <m:sty m:val="b"/>
                      </m:rPr>
                      <w:rPr>
                        <w:rFonts w:ascii="Cambria Math" w:hAnsi="Cambria Math"/>
                        <w:color w:val="000000" w:themeColor="text1"/>
                      </w:rPr>
                      <m:t>'</m:t>
                    </m:r>
                  </m:sup>
                </m:sSup>
                <m:r>
                  <m:rPr>
                    <m:sty m:val="b"/>
                  </m:rPr>
                  <w:rPr>
                    <w:rFonts w:ascii="Cambria Math" w:hAnsi="Cambria Math"/>
                    <w:color w:val="000000" w:themeColor="text1"/>
                  </w:rPr>
                  <m:t>X</m:t>
                </m:r>
              </m:e>
            </m:d>
          </m:e>
          <m:sup>
            <m:r>
              <w:rPr>
                <w:rFonts w:ascii="Cambria Math" w:hAnsi="Cambria Math"/>
                <w:color w:val="000000" w:themeColor="text1"/>
              </w:rPr>
              <m:t>-1</m:t>
            </m:r>
          </m:sup>
        </m:sSup>
        <m:r>
          <m:rPr>
            <m:sty m:val="b"/>
          </m:rPr>
          <w:rPr>
            <w:rFonts w:ascii="Cambria Math" w:hAnsi="Cambria Math"/>
            <w:color w:val="000000" w:themeColor="text1"/>
          </w:rPr>
          <m:t>X'Y</m:t>
        </m:r>
      </m:oMath>
    </w:p>
    <w:p w14:paraId="124A1948" w14:textId="2384884C" w:rsidR="004D489D" w:rsidRPr="004D489D" w:rsidRDefault="004D489D" w:rsidP="0033444D">
      <w:pPr>
        <w:jc w:val="both"/>
      </w:pPr>
      <w:r>
        <w:tab/>
      </w:r>
      <w:r w:rsidR="005B6145">
        <w:t>r</w:t>
      </w:r>
      <w:r>
        <w:t xml:space="preserve">esiduals: </w:t>
      </w:r>
      <m:oMath>
        <m:acc>
          <m:accPr>
            <m:ctrlPr>
              <w:rPr>
                <w:rFonts w:ascii="Cambria Math" w:hAnsi="Cambria Math"/>
                <w:i/>
              </w:rPr>
            </m:ctrlPr>
          </m:accPr>
          <m:e>
            <m:r>
              <m:rPr>
                <m:sty m:val="b"/>
              </m:rPr>
              <w:rPr>
                <w:rFonts w:ascii="Cambria Math" w:hAnsi="Cambria Math"/>
              </w:rPr>
              <m:t>ε</m:t>
            </m:r>
          </m:e>
        </m:acc>
        <m:r>
          <w:rPr>
            <w:rFonts w:ascii="Cambria Math" w:hAnsi="Cambria Math"/>
          </w:rPr>
          <m:t>=</m:t>
        </m:r>
        <m:r>
          <m:rPr>
            <m:sty m:val="b"/>
          </m:rPr>
          <w:rPr>
            <w:rFonts w:ascii="Cambria Math" w:hAnsi="Cambria Math"/>
          </w:rPr>
          <m:t>Y</m:t>
        </m:r>
        <m:r>
          <w:rPr>
            <w:rFonts w:ascii="Cambria Math" w:hAnsi="Cambria Math"/>
          </w:rPr>
          <m:t>-</m:t>
        </m:r>
        <m:acc>
          <m:accPr>
            <m:ctrlPr>
              <w:rPr>
                <w:rFonts w:ascii="Cambria Math" w:hAnsi="Cambria Math"/>
                <w:i/>
              </w:rPr>
            </m:ctrlPr>
          </m:accPr>
          <m:e>
            <m:r>
              <m:rPr>
                <m:sty m:val="b"/>
              </m:rPr>
              <w:rPr>
                <w:rFonts w:ascii="Cambria Math" w:hAnsi="Cambria Math"/>
              </w:rPr>
              <m:t>Y</m:t>
            </m:r>
          </m:e>
        </m:acc>
        <m:r>
          <w:rPr>
            <w:rFonts w:ascii="Cambria Math" w:hAnsi="Cambria Math"/>
          </w:rPr>
          <m:t>=</m:t>
        </m:r>
        <m:d>
          <m:dPr>
            <m:begChr m:val="["/>
            <m:endChr m:val="]"/>
            <m:ctrlPr>
              <w:rPr>
                <w:rFonts w:ascii="Cambria Math" w:hAnsi="Cambria Math"/>
                <w:i/>
              </w:rPr>
            </m:ctrlPr>
          </m:dPr>
          <m:e>
            <m:r>
              <m:rPr>
                <m:sty m:val="b"/>
              </m:rPr>
              <w:rPr>
                <w:rFonts w:ascii="Cambria Math" w:hAnsi="Cambria Math"/>
              </w:rPr>
              <m:t>I</m:t>
            </m:r>
            <m:r>
              <w:rPr>
                <w:rFonts w:ascii="Cambria Math" w:hAnsi="Cambria Math"/>
              </w:rPr>
              <m:t>-</m:t>
            </m:r>
            <m:r>
              <m:rPr>
                <m:sty m:val="b"/>
              </m:rPr>
              <w:rPr>
                <w:rFonts w:ascii="Cambria Math" w:hAnsi="Cambria Math"/>
              </w:rPr>
              <m:t>X</m:t>
            </m:r>
            <m:sSup>
              <m:sSupPr>
                <m:ctrlPr>
                  <w:rPr>
                    <w:rFonts w:ascii="Cambria Math" w:hAnsi="Cambria Math"/>
                    <w:i/>
                    <w:iCs/>
                    <w:color w:val="000000" w:themeColor="text1"/>
                  </w:rPr>
                </m:ctrlPr>
              </m:sSupPr>
              <m:e>
                <m:d>
                  <m:dPr>
                    <m:ctrlPr>
                      <w:rPr>
                        <w:rFonts w:ascii="Cambria Math" w:hAnsi="Cambria Math"/>
                        <w:i/>
                        <w:iCs/>
                        <w:color w:val="000000" w:themeColor="text1"/>
                      </w:rPr>
                    </m:ctrlPr>
                  </m:dPr>
                  <m:e>
                    <m:sSup>
                      <m:sSupPr>
                        <m:ctrlPr>
                          <w:rPr>
                            <w:rFonts w:ascii="Cambria Math" w:hAnsi="Cambria Math"/>
                            <w:b/>
                            <w:bCs/>
                            <w:color w:val="000000" w:themeColor="text1"/>
                          </w:rPr>
                        </m:ctrlPr>
                      </m:sSupPr>
                      <m:e>
                        <m:r>
                          <m:rPr>
                            <m:sty m:val="b"/>
                          </m:rPr>
                          <w:rPr>
                            <w:rFonts w:ascii="Cambria Math" w:hAnsi="Cambria Math"/>
                            <w:color w:val="000000" w:themeColor="text1"/>
                          </w:rPr>
                          <m:t>X</m:t>
                        </m:r>
                      </m:e>
                      <m:sup>
                        <m:r>
                          <m:rPr>
                            <m:sty m:val="b"/>
                          </m:rPr>
                          <w:rPr>
                            <w:rFonts w:ascii="Cambria Math" w:hAnsi="Cambria Math"/>
                            <w:color w:val="000000" w:themeColor="text1"/>
                          </w:rPr>
                          <m:t>'</m:t>
                        </m:r>
                      </m:sup>
                    </m:sSup>
                    <m:r>
                      <m:rPr>
                        <m:sty m:val="b"/>
                      </m:rPr>
                      <w:rPr>
                        <w:rFonts w:ascii="Cambria Math" w:hAnsi="Cambria Math"/>
                        <w:color w:val="000000" w:themeColor="text1"/>
                      </w:rPr>
                      <m:t>X</m:t>
                    </m:r>
                  </m:e>
                </m:d>
              </m:e>
              <m:sup>
                <m:r>
                  <w:rPr>
                    <w:rFonts w:ascii="Cambria Math" w:hAnsi="Cambria Math"/>
                    <w:color w:val="000000" w:themeColor="text1"/>
                  </w:rPr>
                  <m:t>-1</m:t>
                </m:r>
              </m:sup>
            </m:sSup>
            <m:r>
              <m:rPr>
                <m:sty m:val="b"/>
              </m:rPr>
              <w:rPr>
                <w:rFonts w:ascii="Cambria Math" w:hAnsi="Cambria Math"/>
                <w:color w:val="000000" w:themeColor="text1"/>
              </w:rPr>
              <m:t>X'</m:t>
            </m:r>
          </m:e>
        </m:d>
        <m:r>
          <m:rPr>
            <m:sty m:val="b"/>
          </m:rPr>
          <w:rPr>
            <w:rFonts w:ascii="Cambria Math" w:hAnsi="Cambria Math"/>
          </w:rPr>
          <m:t>Y</m:t>
        </m:r>
      </m:oMath>
      <w:r>
        <w:rPr>
          <w:b/>
          <w:bCs/>
          <w:iCs/>
        </w:rPr>
        <w:tab/>
      </w:r>
      <w:r>
        <w:rPr>
          <w:b/>
          <w:bCs/>
          <w:iCs/>
        </w:rPr>
        <w:tab/>
      </w:r>
      <w:r>
        <w:rPr>
          <w:b/>
          <w:bCs/>
          <w:iCs/>
        </w:rPr>
        <w:tab/>
      </w:r>
      <w:r>
        <w:rPr>
          <w:b/>
          <w:bCs/>
          <w:iCs/>
        </w:rPr>
        <w:tab/>
      </w:r>
      <w:r>
        <w:rPr>
          <w:b/>
          <w:bCs/>
          <w:iCs/>
        </w:rPr>
        <w:tab/>
      </w:r>
      <w:r w:rsidRPr="004D489D">
        <w:rPr>
          <w:iCs/>
        </w:rPr>
        <w:t>(3)</w:t>
      </w:r>
    </w:p>
    <w:p w14:paraId="1AD6E779" w14:textId="77777777" w:rsidR="004D489D" w:rsidRDefault="004D489D" w:rsidP="0033444D">
      <w:pPr>
        <w:jc w:val="both"/>
        <w:rPr>
          <w:highlight w:val="yellow"/>
        </w:rPr>
      </w:pPr>
    </w:p>
    <w:p w14:paraId="07C79A6A" w14:textId="2B7D0EDB" w:rsidR="0055512A" w:rsidRDefault="00CF044C" w:rsidP="00C46AC1">
      <w:pPr>
        <w:jc w:val="both"/>
        <w:rPr>
          <w:color w:val="000000" w:themeColor="text1"/>
        </w:rPr>
      </w:pPr>
      <w:r>
        <w:rPr>
          <w:color w:val="000000" w:themeColor="text1"/>
        </w:rPr>
        <w:t xml:space="preserve">In data analyses, lm function in stats package in R is used to fit the multivariate linear regression model. </w:t>
      </w:r>
      <w:r w:rsidR="001A0807" w:rsidRPr="00CF044C">
        <w:rPr>
          <w:color w:val="000000" w:themeColor="text1"/>
        </w:rPr>
        <w:t xml:space="preserve">The </w:t>
      </w:r>
      <w:proofErr w:type="spellStart"/>
      <w:r w:rsidR="001A0807" w:rsidRPr="00CF044C">
        <w:rPr>
          <w:color w:val="000000" w:themeColor="text1"/>
        </w:rPr>
        <w:t>mvn</w:t>
      </w:r>
      <w:proofErr w:type="spellEnd"/>
      <w:r w:rsidR="001A0807" w:rsidRPr="00CF044C">
        <w:rPr>
          <w:color w:val="000000" w:themeColor="text1"/>
        </w:rPr>
        <w:t xml:space="preserve"> </w:t>
      </w:r>
      <w:r w:rsidR="00AF571B">
        <w:rPr>
          <w:color w:val="000000" w:themeColor="text1"/>
        </w:rPr>
        <w:t>function</w:t>
      </w:r>
      <w:r w:rsidR="001A0807" w:rsidRPr="00CF044C">
        <w:rPr>
          <w:color w:val="000000" w:themeColor="text1"/>
        </w:rPr>
        <w:t xml:space="preserve"> in MVN package in R is used to examine multivariate normality along with the multivariate plots</w:t>
      </w:r>
      <w:r w:rsidR="00AB77BD" w:rsidRPr="00CF044C">
        <w:rPr>
          <w:color w:val="000000" w:themeColor="text1"/>
        </w:rPr>
        <w:t xml:space="preserve"> </w:t>
      </w:r>
      <w:r w:rsidR="007A4658">
        <w:rPr>
          <w:color w:val="000000" w:themeColor="text1"/>
        </w:rPr>
        <w:t>[17]</w:t>
      </w:r>
      <w:r w:rsidR="001A0807" w:rsidRPr="00CF044C">
        <w:rPr>
          <w:color w:val="000000" w:themeColor="text1"/>
        </w:rPr>
        <w:t>.</w:t>
      </w:r>
    </w:p>
    <w:p w14:paraId="7D2BDB39" w14:textId="16860887" w:rsidR="00E719F3" w:rsidRDefault="00E719F3" w:rsidP="00C46AC1">
      <w:pPr>
        <w:jc w:val="both"/>
        <w:rPr>
          <w:color w:val="000000" w:themeColor="text1"/>
        </w:rPr>
      </w:pPr>
    </w:p>
    <w:p w14:paraId="673B082F" w14:textId="77777777" w:rsidR="0011697B" w:rsidRPr="00AB77BD" w:rsidRDefault="0011697B" w:rsidP="00C46AC1">
      <w:pPr>
        <w:jc w:val="both"/>
        <w:rPr>
          <w:color w:val="000000" w:themeColor="text1"/>
        </w:rPr>
      </w:pPr>
    </w:p>
    <w:p w14:paraId="581417C4" w14:textId="6A5A5F8F" w:rsidR="005F7BA3" w:rsidRDefault="009B5185" w:rsidP="0011697B">
      <w:pPr>
        <w:pStyle w:val="Section"/>
        <w:spacing w:before="0"/>
      </w:pPr>
      <w:r>
        <w:t>Result</w:t>
      </w:r>
      <w:r w:rsidR="0045117E">
        <w:t>s</w:t>
      </w:r>
      <w:r>
        <w:t xml:space="preserve"> </w:t>
      </w:r>
    </w:p>
    <w:p w14:paraId="6D490F58" w14:textId="72E3114B" w:rsidR="00726004" w:rsidRDefault="00E92CE7" w:rsidP="0011697B">
      <w:pPr>
        <w:pStyle w:val="Section"/>
        <w:numPr>
          <w:ilvl w:val="0"/>
          <w:numId w:val="0"/>
        </w:numPr>
        <w:spacing w:before="0"/>
        <w:jc w:val="both"/>
        <w:rPr>
          <w:b w:val="0"/>
          <w:bCs/>
          <w:color w:val="000000" w:themeColor="text1"/>
        </w:rPr>
      </w:pPr>
      <w:r>
        <w:rPr>
          <w:b w:val="0"/>
          <w:bCs/>
        </w:rPr>
        <w:t>The</w:t>
      </w:r>
      <w:r w:rsidR="00E52E24">
        <w:rPr>
          <w:b w:val="0"/>
          <w:bCs/>
        </w:rPr>
        <w:t xml:space="preserve"> total of the samples (</w:t>
      </w:r>
      <m:oMath>
        <m:r>
          <m:rPr>
            <m:sty m:val="bi"/>
          </m:rPr>
          <w:rPr>
            <w:rFonts w:ascii="Cambria Math" w:hAnsi="Cambria Math"/>
          </w:rPr>
          <m:t>N</m:t>
        </m:r>
      </m:oMath>
      <w:r w:rsidR="00E52E24">
        <w:rPr>
          <w:b w:val="0"/>
          <w:bCs/>
        </w:rPr>
        <w:t>=</w:t>
      </w:r>
      <w:r w:rsidR="00E74041">
        <w:rPr>
          <w:b w:val="0"/>
          <w:bCs/>
        </w:rPr>
        <w:t>1,856</w:t>
      </w:r>
      <w:r w:rsidR="00E52E24">
        <w:rPr>
          <w:b w:val="0"/>
          <w:bCs/>
        </w:rPr>
        <w:t>)</w:t>
      </w:r>
      <w:r w:rsidRPr="00E92CE7">
        <w:rPr>
          <w:b w:val="0"/>
          <w:bCs/>
        </w:rPr>
        <w:t xml:space="preserve"> </w:t>
      </w:r>
      <w:r>
        <w:rPr>
          <w:b w:val="0"/>
          <w:bCs/>
        </w:rPr>
        <w:t xml:space="preserve">included </w:t>
      </w:r>
      <w:r w:rsidR="00E52E24">
        <w:rPr>
          <w:b w:val="0"/>
          <w:bCs/>
        </w:rPr>
        <w:t xml:space="preserve">in this study are </w:t>
      </w:r>
      <w:r w:rsidR="00E74041">
        <w:rPr>
          <w:b w:val="0"/>
          <w:bCs/>
        </w:rPr>
        <w:t>928</w:t>
      </w:r>
      <w:r w:rsidR="00E52E24">
        <w:rPr>
          <w:b w:val="0"/>
          <w:bCs/>
        </w:rPr>
        <w:t xml:space="preserve"> boys</w:t>
      </w:r>
      <w:r w:rsidRPr="00E92CE7">
        <w:rPr>
          <w:b w:val="0"/>
          <w:bCs/>
        </w:rPr>
        <w:t xml:space="preserve"> and </w:t>
      </w:r>
      <w:r w:rsidR="00E74041">
        <w:rPr>
          <w:b w:val="0"/>
          <w:bCs/>
        </w:rPr>
        <w:t>928</w:t>
      </w:r>
      <w:r w:rsidRPr="00E92CE7">
        <w:rPr>
          <w:b w:val="0"/>
          <w:bCs/>
        </w:rPr>
        <w:t xml:space="preserve"> girls. Table 1 </w:t>
      </w:r>
      <w:r w:rsidR="00EB786B">
        <w:rPr>
          <w:b w:val="0"/>
          <w:bCs/>
        </w:rPr>
        <w:t>presents information about the gender-based continuous variables</w:t>
      </w:r>
      <w:r w:rsidRPr="00E92CE7">
        <w:rPr>
          <w:b w:val="0"/>
          <w:bCs/>
        </w:rPr>
        <w:t xml:space="preserve">. </w:t>
      </w:r>
      <w:r w:rsidR="00FE0E73" w:rsidRPr="00FE0E73">
        <w:rPr>
          <w:b w:val="0"/>
          <w:bCs/>
        </w:rPr>
        <w:t>From the descriptive statistics in table 1, it can be seen that girls have higher reading mean scores (</w:t>
      </w:r>
      <m:oMath>
        <m:r>
          <m:rPr>
            <m:sty m:val="bi"/>
          </m:rPr>
          <w:rPr>
            <w:rFonts w:ascii="Cambria Math" w:hAnsi="Cambria Math"/>
          </w:rPr>
          <m:t>M=435.29</m:t>
        </m:r>
      </m:oMath>
      <w:r w:rsidR="00FE0E73" w:rsidRPr="00B95AC2">
        <w:rPr>
          <w:b w:val="0"/>
          <w:bCs/>
        </w:rPr>
        <w:t xml:space="preserve">, </w:t>
      </w:r>
      <m:oMath>
        <m:r>
          <m:rPr>
            <m:sty m:val="bi"/>
          </m:rPr>
          <w:rPr>
            <w:rFonts w:ascii="Cambria Math" w:hAnsi="Cambria Math"/>
          </w:rPr>
          <m:t>SD=73.67</m:t>
        </m:r>
      </m:oMath>
      <w:r w:rsidR="00FE0E73" w:rsidRPr="00FE0E73">
        <w:rPr>
          <w:b w:val="0"/>
          <w:bCs/>
        </w:rPr>
        <w:t>) than boys. The same results reveal a small difference between girls and boys in mathematics and science mean scores</w:t>
      </w:r>
      <w:r w:rsidR="00FE0E73" w:rsidRPr="00FE0E73">
        <w:rPr>
          <w:b w:val="0"/>
          <w:bCs/>
          <w:color w:val="000000" w:themeColor="text1"/>
        </w:rPr>
        <w:t>.</w:t>
      </w:r>
      <w:r w:rsidR="00655DDB">
        <w:rPr>
          <w:b w:val="0"/>
          <w:bCs/>
          <w:color w:val="000000" w:themeColor="text1"/>
        </w:rPr>
        <w:t xml:space="preserve"> Moreover, the variability of reading, math, and science score between female is somewhat lower than the boys.</w:t>
      </w:r>
    </w:p>
    <w:p w14:paraId="138D2027" w14:textId="77777777" w:rsidR="00FE0E73" w:rsidRPr="00FE0E73" w:rsidRDefault="00FE0E73" w:rsidP="00FE0E73">
      <w:pPr>
        <w:pStyle w:val="Bodytext"/>
        <w:rPr>
          <w:lang w:val="en-GB"/>
        </w:rPr>
      </w:pPr>
    </w:p>
    <w:p w14:paraId="26DEA618" w14:textId="3753D056" w:rsidR="00726004" w:rsidRDefault="00726004" w:rsidP="00726004">
      <w:pPr>
        <w:jc w:val="center"/>
      </w:pPr>
      <w:r w:rsidRPr="00576A48">
        <w:rPr>
          <w:b/>
          <w:bCs/>
        </w:rPr>
        <w:t>Tabl</w:t>
      </w:r>
      <w:r w:rsidR="009A17C1">
        <w:rPr>
          <w:b/>
          <w:bCs/>
        </w:rPr>
        <w:t>e</w:t>
      </w:r>
      <w:r w:rsidRPr="00576A48">
        <w:rPr>
          <w:b/>
          <w:bCs/>
        </w:rPr>
        <w:t xml:space="preserve"> 1</w:t>
      </w:r>
      <w:r>
        <w:t xml:space="preserve">. </w:t>
      </w:r>
      <w:r w:rsidR="00E74041">
        <w:t>Descriptive statistics for the variables of interest</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967"/>
        <w:gridCol w:w="993"/>
        <w:gridCol w:w="992"/>
        <w:gridCol w:w="992"/>
        <w:gridCol w:w="992"/>
        <w:gridCol w:w="993"/>
        <w:gridCol w:w="992"/>
        <w:gridCol w:w="992"/>
      </w:tblGrid>
      <w:tr w:rsidR="00726004" w14:paraId="02F68362" w14:textId="77777777" w:rsidTr="00BE0ED6">
        <w:tc>
          <w:tcPr>
            <w:tcW w:w="1296" w:type="dxa"/>
            <w:tcBorders>
              <w:top w:val="single" w:sz="4" w:space="0" w:color="auto"/>
              <w:bottom w:val="single" w:sz="4" w:space="0" w:color="auto"/>
            </w:tcBorders>
          </w:tcPr>
          <w:p w14:paraId="4696BBC3" w14:textId="77777777" w:rsidR="00726004" w:rsidRDefault="00726004" w:rsidP="00BE0ED6">
            <w:pPr>
              <w:jc w:val="both"/>
            </w:pPr>
          </w:p>
        </w:tc>
        <w:tc>
          <w:tcPr>
            <w:tcW w:w="1960" w:type="dxa"/>
            <w:gridSpan w:val="2"/>
            <w:tcBorders>
              <w:top w:val="single" w:sz="4" w:space="0" w:color="auto"/>
              <w:bottom w:val="single" w:sz="4" w:space="0" w:color="auto"/>
            </w:tcBorders>
          </w:tcPr>
          <w:p w14:paraId="1FAE07E6" w14:textId="77777777" w:rsidR="00726004" w:rsidRDefault="00726004" w:rsidP="00BE0ED6">
            <w:pPr>
              <w:jc w:val="center"/>
            </w:pPr>
            <w:r>
              <w:t>Mean</w:t>
            </w:r>
          </w:p>
        </w:tc>
        <w:tc>
          <w:tcPr>
            <w:tcW w:w="1984" w:type="dxa"/>
            <w:gridSpan w:val="2"/>
            <w:tcBorders>
              <w:top w:val="single" w:sz="4" w:space="0" w:color="auto"/>
              <w:bottom w:val="single" w:sz="4" w:space="0" w:color="auto"/>
            </w:tcBorders>
          </w:tcPr>
          <w:p w14:paraId="7271D725" w14:textId="1162ECD5" w:rsidR="00726004" w:rsidRDefault="00537596" w:rsidP="00BE0ED6">
            <w:pPr>
              <w:jc w:val="center"/>
            </w:pPr>
            <w:r>
              <w:t>Standard Deviation</w:t>
            </w:r>
          </w:p>
        </w:tc>
        <w:tc>
          <w:tcPr>
            <w:tcW w:w="1985" w:type="dxa"/>
            <w:gridSpan w:val="2"/>
            <w:tcBorders>
              <w:top w:val="single" w:sz="4" w:space="0" w:color="auto"/>
              <w:bottom w:val="single" w:sz="4" w:space="0" w:color="auto"/>
            </w:tcBorders>
          </w:tcPr>
          <w:p w14:paraId="1457A96B" w14:textId="77777777" w:rsidR="00726004" w:rsidRDefault="00726004" w:rsidP="00BE0ED6">
            <w:pPr>
              <w:jc w:val="center"/>
            </w:pPr>
            <w:r>
              <w:t>Minimum</w:t>
            </w:r>
          </w:p>
        </w:tc>
        <w:tc>
          <w:tcPr>
            <w:tcW w:w="1984" w:type="dxa"/>
            <w:gridSpan w:val="2"/>
            <w:tcBorders>
              <w:top w:val="single" w:sz="4" w:space="0" w:color="auto"/>
              <w:bottom w:val="single" w:sz="4" w:space="0" w:color="auto"/>
            </w:tcBorders>
          </w:tcPr>
          <w:p w14:paraId="020B34D5" w14:textId="77777777" w:rsidR="00726004" w:rsidRDefault="00726004" w:rsidP="00BE0ED6">
            <w:pPr>
              <w:jc w:val="center"/>
            </w:pPr>
            <w:r>
              <w:t>Maximum</w:t>
            </w:r>
          </w:p>
        </w:tc>
      </w:tr>
      <w:tr w:rsidR="00726004" w14:paraId="2074CA98" w14:textId="77777777" w:rsidTr="00BE0ED6">
        <w:tc>
          <w:tcPr>
            <w:tcW w:w="1296" w:type="dxa"/>
            <w:tcBorders>
              <w:top w:val="single" w:sz="4" w:space="0" w:color="auto"/>
              <w:bottom w:val="single" w:sz="4" w:space="0" w:color="auto"/>
            </w:tcBorders>
          </w:tcPr>
          <w:p w14:paraId="461AFC54" w14:textId="77777777" w:rsidR="00726004" w:rsidRDefault="00726004" w:rsidP="00BE0ED6">
            <w:pPr>
              <w:jc w:val="both"/>
            </w:pPr>
            <w:r>
              <w:t>Variable</w:t>
            </w:r>
          </w:p>
        </w:tc>
        <w:tc>
          <w:tcPr>
            <w:tcW w:w="967" w:type="dxa"/>
            <w:tcBorders>
              <w:top w:val="single" w:sz="4" w:space="0" w:color="auto"/>
              <w:bottom w:val="single" w:sz="4" w:space="0" w:color="auto"/>
            </w:tcBorders>
          </w:tcPr>
          <w:p w14:paraId="144EF60F" w14:textId="77777777" w:rsidR="00726004" w:rsidRDefault="00726004" w:rsidP="00BE0ED6">
            <w:pPr>
              <w:jc w:val="center"/>
            </w:pPr>
            <w:r>
              <w:t>Male</w:t>
            </w:r>
          </w:p>
        </w:tc>
        <w:tc>
          <w:tcPr>
            <w:tcW w:w="993" w:type="dxa"/>
            <w:tcBorders>
              <w:top w:val="single" w:sz="4" w:space="0" w:color="auto"/>
              <w:bottom w:val="single" w:sz="4" w:space="0" w:color="auto"/>
            </w:tcBorders>
          </w:tcPr>
          <w:p w14:paraId="34425D97" w14:textId="77777777" w:rsidR="00726004" w:rsidRDefault="00726004" w:rsidP="00BE0ED6">
            <w:pPr>
              <w:jc w:val="center"/>
            </w:pPr>
            <w:r>
              <w:t>Female</w:t>
            </w:r>
          </w:p>
        </w:tc>
        <w:tc>
          <w:tcPr>
            <w:tcW w:w="992" w:type="dxa"/>
            <w:tcBorders>
              <w:top w:val="single" w:sz="4" w:space="0" w:color="auto"/>
              <w:bottom w:val="single" w:sz="4" w:space="0" w:color="auto"/>
            </w:tcBorders>
          </w:tcPr>
          <w:p w14:paraId="710D2FE9" w14:textId="77777777" w:rsidR="00726004" w:rsidRDefault="00726004" w:rsidP="00BE0ED6">
            <w:pPr>
              <w:jc w:val="center"/>
            </w:pPr>
            <w:r>
              <w:t>Male</w:t>
            </w:r>
          </w:p>
        </w:tc>
        <w:tc>
          <w:tcPr>
            <w:tcW w:w="992" w:type="dxa"/>
            <w:tcBorders>
              <w:top w:val="single" w:sz="4" w:space="0" w:color="auto"/>
              <w:bottom w:val="single" w:sz="4" w:space="0" w:color="auto"/>
            </w:tcBorders>
          </w:tcPr>
          <w:p w14:paraId="21F3F77B" w14:textId="77777777" w:rsidR="00726004" w:rsidRDefault="00726004" w:rsidP="00BE0ED6">
            <w:pPr>
              <w:jc w:val="center"/>
            </w:pPr>
            <w:r>
              <w:t>Female</w:t>
            </w:r>
          </w:p>
        </w:tc>
        <w:tc>
          <w:tcPr>
            <w:tcW w:w="992" w:type="dxa"/>
            <w:tcBorders>
              <w:top w:val="single" w:sz="4" w:space="0" w:color="auto"/>
              <w:bottom w:val="single" w:sz="4" w:space="0" w:color="auto"/>
            </w:tcBorders>
          </w:tcPr>
          <w:p w14:paraId="2769EAA6" w14:textId="77777777" w:rsidR="00726004" w:rsidRDefault="00726004" w:rsidP="00BE0ED6">
            <w:pPr>
              <w:jc w:val="center"/>
            </w:pPr>
            <w:r>
              <w:t>Male</w:t>
            </w:r>
          </w:p>
        </w:tc>
        <w:tc>
          <w:tcPr>
            <w:tcW w:w="993" w:type="dxa"/>
            <w:tcBorders>
              <w:top w:val="single" w:sz="4" w:space="0" w:color="auto"/>
              <w:bottom w:val="single" w:sz="4" w:space="0" w:color="auto"/>
            </w:tcBorders>
          </w:tcPr>
          <w:p w14:paraId="255BA84A" w14:textId="77777777" w:rsidR="00726004" w:rsidRDefault="00726004" w:rsidP="00BE0ED6">
            <w:pPr>
              <w:jc w:val="center"/>
            </w:pPr>
            <w:r>
              <w:t>Female</w:t>
            </w:r>
          </w:p>
        </w:tc>
        <w:tc>
          <w:tcPr>
            <w:tcW w:w="992" w:type="dxa"/>
            <w:tcBorders>
              <w:top w:val="single" w:sz="4" w:space="0" w:color="auto"/>
              <w:bottom w:val="single" w:sz="4" w:space="0" w:color="auto"/>
            </w:tcBorders>
          </w:tcPr>
          <w:p w14:paraId="4853EB62" w14:textId="77777777" w:rsidR="00726004" w:rsidRDefault="00726004" w:rsidP="00BE0ED6">
            <w:pPr>
              <w:jc w:val="center"/>
            </w:pPr>
            <w:r>
              <w:t>Male</w:t>
            </w:r>
          </w:p>
        </w:tc>
        <w:tc>
          <w:tcPr>
            <w:tcW w:w="992" w:type="dxa"/>
            <w:tcBorders>
              <w:top w:val="single" w:sz="4" w:space="0" w:color="auto"/>
              <w:bottom w:val="single" w:sz="4" w:space="0" w:color="auto"/>
            </w:tcBorders>
          </w:tcPr>
          <w:p w14:paraId="5679F9E6" w14:textId="77777777" w:rsidR="00726004" w:rsidRDefault="00726004" w:rsidP="00BE0ED6">
            <w:pPr>
              <w:jc w:val="center"/>
            </w:pPr>
            <w:r>
              <w:t>Female</w:t>
            </w:r>
          </w:p>
        </w:tc>
      </w:tr>
      <w:tr w:rsidR="00726004" w14:paraId="1A5A51D0" w14:textId="77777777" w:rsidTr="00BE0ED6">
        <w:tc>
          <w:tcPr>
            <w:tcW w:w="1296" w:type="dxa"/>
            <w:tcBorders>
              <w:top w:val="single" w:sz="4" w:space="0" w:color="auto"/>
            </w:tcBorders>
          </w:tcPr>
          <w:p w14:paraId="3B8CDB1F" w14:textId="34FD0E00" w:rsidR="00726004" w:rsidRDefault="00726004" w:rsidP="00BE0ED6">
            <w:pPr>
              <w:jc w:val="both"/>
            </w:pPr>
            <w:r>
              <w:t>ESC</w:t>
            </w:r>
            <w:r w:rsidR="00EB786B">
              <w:t>S</w:t>
            </w:r>
          </w:p>
        </w:tc>
        <w:tc>
          <w:tcPr>
            <w:tcW w:w="967" w:type="dxa"/>
            <w:tcBorders>
              <w:top w:val="single" w:sz="4" w:space="0" w:color="auto"/>
            </w:tcBorders>
          </w:tcPr>
          <w:p w14:paraId="25BF0D0E" w14:textId="1DB3D473" w:rsidR="00726004" w:rsidRDefault="00E74041" w:rsidP="00BE0ED6">
            <w:pPr>
              <w:jc w:val="center"/>
            </w:pPr>
            <w:r>
              <w:t>-1.27</w:t>
            </w:r>
          </w:p>
        </w:tc>
        <w:tc>
          <w:tcPr>
            <w:tcW w:w="993" w:type="dxa"/>
            <w:tcBorders>
              <w:top w:val="single" w:sz="4" w:space="0" w:color="auto"/>
            </w:tcBorders>
          </w:tcPr>
          <w:p w14:paraId="2D648EEE" w14:textId="452F4679" w:rsidR="00726004" w:rsidRDefault="00E74041" w:rsidP="00BE0ED6">
            <w:pPr>
              <w:jc w:val="center"/>
            </w:pPr>
            <w:r>
              <w:t>-1.35</w:t>
            </w:r>
          </w:p>
        </w:tc>
        <w:tc>
          <w:tcPr>
            <w:tcW w:w="992" w:type="dxa"/>
            <w:tcBorders>
              <w:top w:val="single" w:sz="4" w:space="0" w:color="auto"/>
            </w:tcBorders>
          </w:tcPr>
          <w:p w14:paraId="05CC06D3" w14:textId="20FEEC5A" w:rsidR="00726004" w:rsidRDefault="00E74041" w:rsidP="00BE0ED6">
            <w:pPr>
              <w:jc w:val="center"/>
            </w:pPr>
            <w:r>
              <w:t>1.10</w:t>
            </w:r>
          </w:p>
        </w:tc>
        <w:tc>
          <w:tcPr>
            <w:tcW w:w="992" w:type="dxa"/>
            <w:tcBorders>
              <w:top w:val="single" w:sz="4" w:space="0" w:color="auto"/>
            </w:tcBorders>
          </w:tcPr>
          <w:p w14:paraId="7F2E6F44" w14:textId="7EEB5B8D" w:rsidR="00726004" w:rsidRDefault="00E74041" w:rsidP="00BE0ED6">
            <w:pPr>
              <w:jc w:val="center"/>
            </w:pPr>
            <w:r>
              <w:t>1.07</w:t>
            </w:r>
          </w:p>
        </w:tc>
        <w:tc>
          <w:tcPr>
            <w:tcW w:w="992" w:type="dxa"/>
            <w:tcBorders>
              <w:top w:val="single" w:sz="4" w:space="0" w:color="auto"/>
            </w:tcBorders>
          </w:tcPr>
          <w:p w14:paraId="336F80C2" w14:textId="278EDCFF" w:rsidR="00726004" w:rsidRDefault="00E74041" w:rsidP="00BE0ED6">
            <w:pPr>
              <w:jc w:val="center"/>
            </w:pPr>
            <w:r>
              <w:t>-4.12</w:t>
            </w:r>
          </w:p>
        </w:tc>
        <w:tc>
          <w:tcPr>
            <w:tcW w:w="993" w:type="dxa"/>
            <w:tcBorders>
              <w:top w:val="single" w:sz="4" w:space="0" w:color="auto"/>
            </w:tcBorders>
          </w:tcPr>
          <w:p w14:paraId="57AB7275" w14:textId="0B1239FF" w:rsidR="00726004" w:rsidRDefault="00E74041" w:rsidP="00BE0ED6">
            <w:pPr>
              <w:jc w:val="center"/>
            </w:pPr>
            <w:r>
              <w:t>-3.95</w:t>
            </w:r>
          </w:p>
        </w:tc>
        <w:tc>
          <w:tcPr>
            <w:tcW w:w="992" w:type="dxa"/>
            <w:tcBorders>
              <w:top w:val="single" w:sz="4" w:space="0" w:color="auto"/>
            </w:tcBorders>
          </w:tcPr>
          <w:p w14:paraId="6752E67E" w14:textId="55700951" w:rsidR="00726004" w:rsidRDefault="00E74041" w:rsidP="00BE0ED6">
            <w:pPr>
              <w:jc w:val="center"/>
            </w:pPr>
            <w:r>
              <w:t>1.34</w:t>
            </w:r>
          </w:p>
        </w:tc>
        <w:tc>
          <w:tcPr>
            <w:tcW w:w="992" w:type="dxa"/>
            <w:tcBorders>
              <w:top w:val="single" w:sz="4" w:space="0" w:color="auto"/>
            </w:tcBorders>
          </w:tcPr>
          <w:p w14:paraId="72615081" w14:textId="4ADFCDAD" w:rsidR="00726004" w:rsidRDefault="00E74041" w:rsidP="00BE0ED6">
            <w:pPr>
              <w:jc w:val="center"/>
            </w:pPr>
            <w:r>
              <w:t>1.37</w:t>
            </w:r>
          </w:p>
        </w:tc>
      </w:tr>
      <w:tr w:rsidR="00726004" w14:paraId="0FE9202F" w14:textId="77777777" w:rsidTr="00BE0ED6">
        <w:tc>
          <w:tcPr>
            <w:tcW w:w="1296" w:type="dxa"/>
          </w:tcPr>
          <w:p w14:paraId="1601503D" w14:textId="77777777" w:rsidR="00726004" w:rsidRDefault="00726004" w:rsidP="00BE0ED6">
            <w:pPr>
              <w:jc w:val="both"/>
            </w:pPr>
            <w:r>
              <w:t>Math</w:t>
            </w:r>
          </w:p>
        </w:tc>
        <w:tc>
          <w:tcPr>
            <w:tcW w:w="967" w:type="dxa"/>
          </w:tcPr>
          <w:p w14:paraId="4B6FE610" w14:textId="3952A3CA" w:rsidR="00726004" w:rsidRDefault="00E74041" w:rsidP="00BE0ED6">
            <w:pPr>
              <w:jc w:val="center"/>
            </w:pPr>
            <w:r>
              <w:t>418.44</w:t>
            </w:r>
          </w:p>
        </w:tc>
        <w:tc>
          <w:tcPr>
            <w:tcW w:w="993" w:type="dxa"/>
          </w:tcPr>
          <w:p w14:paraId="1ED9CC9B" w14:textId="636804EE" w:rsidR="00726004" w:rsidRDefault="00E74041" w:rsidP="00BE0ED6">
            <w:pPr>
              <w:jc w:val="center"/>
            </w:pPr>
            <w:r>
              <w:t>443.02</w:t>
            </w:r>
          </w:p>
        </w:tc>
        <w:tc>
          <w:tcPr>
            <w:tcW w:w="992" w:type="dxa"/>
          </w:tcPr>
          <w:p w14:paraId="248B1327" w14:textId="35AC9F02" w:rsidR="00726004" w:rsidRDefault="00E74041" w:rsidP="00BE0ED6">
            <w:pPr>
              <w:jc w:val="center"/>
            </w:pPr>
            <w:r>
              <w:t>85.80</w:t>
            </w:r>
          </w:p>
        </w:tc>
        <w:tc>
          <w:tcPr>
            <w:tcW w:w="992" w:type="dxa"/>
          </w:tcPr>
          <w:p w14:paraId="066A8588" w14:textId="716B6857" w:rsidR="00726004" w:rsidRDefault="00E74041" w:rsidP="00BE0ED6">
            <w:pPr>
              <w:jc w:val="center"/>
            </w:pPr>
            <w:r>
              <w:t>76.44</w:t>
            </w:r>
          </w:p>
        </w:tc>
        <w:tc>
          <w:tcPr>
            <w:tcW w:w="992" w:type="dxa"/>
          </w:tcPr>
          <w:p w14:paraId="3F915506" w14:textId="1FA0CA4D" w:rsidR="00726004" w:rsidRDefault="00E74041" w:rsidP="00BE0ED6">
            <w:pPr>
              <w:jc w:val="center"/>
            </w:pPr>
            <w:r>
              <w:t>176.52</w:t>
            </w:r>
          </w:p>
        </w:tc>
        <w:tc>
          <w:tcPr>
            <w:tcW w:w="993" w:type="dxa"/>
          </w:tcPr>
          <w:p w14:paraId="45779DDF" w14:textId="31CBABCD" w:rsidR="00726004" w:rsidRDefault="00E74041" w:rsidP="00BE0ED6">
            <w:pPr>
              <w:jc w:val="center"/>
            </w:pPr>
            <w:r>
              <w:t>188.22</w:t>
            </w:r>
          </w:p>
        </w:tc>
        <w:tc>
          <w:tcPr>
            <w:tcW w:w="992" w:type="dxa"/>
          </w:tcPr>
          <w:p w14:paraId="18F053EC" w14:textId="73014E7A" w:rsidR="00726004" w:rsidRDefault="00E74041" w:rsidP="00BE0ED6">
            <w:pPr>
              <w:jc w:val="center"/>
            </w:pPr>
            <w:r>
              <w:t>677.82</w:t>
            </w:r>
          </w:p>
        </w:tc>
        <w:tc>
          <w:tcPr>
            <w:tcW w:w="992" w:type="dxa"/>
          </w:tcPr>
          <w:p w14:paraId="56D04B64" w14:textId="0B9793A7" w:rsidR="00726004" w:rsidRDefault="00E74041" w:rsidP="00BE0ED6">
            <w:pPr>
              <w:jc w:val="center"/>
            </w:pPr>
            <w:r>
              <w:t>665.48</w:t>
            </w:r>
          </w:p>
        </w:tc>
      </w:tr>
      <w:tr w:rsidR="00726004" w14:paraId="79F9BDBE" w14:textId="77777777" w:rsidTr="00BE0ED6">
        <w:tc>
          <w:tcPr>
            <w:tcW w:w="1296" w:type="dxa"/>
          </w:tcPr>
          <w:p w14:paraId="7D847147" w14:textId="77777777" w:rsidR="00726004" w:rsidRDefault="00726004" w:rsidP="00BE0ED6">
            <w:pPr>
              <w:jc w:val="both"/>
            </w:pPr>
            <w:r>
              <w:t>Science</w:t>
            </w:r>
          </w:p>
        </w:tc>
        <w:tc>
          <w:tcPr>
            <w:tcW w:w="967" w:type="dxa"/>
          </w:tcPr>
          <w:p w14:paraId="5CFAB890" w14:textId="4CCEDA43" w:rsidR="00726004" w:rsidRDefault="00E74041" w:rsidP="00BE0ED6">
            <w:pPr>
              <w:jc w:val="center"/>
            </w:pPr>
            <w:r>
              <w:t>427.78</w:t>
            </w:r>
          </w:p>
        </w:tc>
        <w:tc>
          <w:tcPr>
            <w:tcW w:w="993" w:type="dxa"/>
          </w:tcPr>
          <w:p w14:paraId="19874B40" w14:textId="1004B890" w:rsidR="00726004" w:rsidRDefault="00E74041" w:rsidP="00BE0ED6">
            <w:pPr>
              <w:jc w:val="center"/>
            </w:pPr>
            <w:r>
              <w:t>451.55</w:t>
            </w:r>
          </w:p>
        </w:tc>
        <w:tc>
          <w:tcPr>
            <w:tcW w:w="992" w:type="dxa"/>
          </w:tcPr>
          <w:p w14:paraId="765E8F0B" w14:textId="0422618B" w:rsidR="00726004" w:rsidRDefault="00E74041" w:rsidP="00BE0ED6">
            <w:pPr>
              <w:jc w:val="center"/>
            </w:pPr>
            <w:r>
              <w:t>72.50</w:t>
            </w:r>
          </w:p>
        </w:tc>
        <w:tc>
          <w:tcPr>
            <w:tcW w:w="992" w:type="dxa"/>
          </w:tcPr>
          <w:p w14:paraId="24A28D10" w14:textId="4E71BFBC" w:rsidR="00726004" w:rsidRDefault="00E74041" w:rsidP="00BE0ED6">
            <w:pPr>
              <w:jc w:val="center"/>
            </w:pPr>
            <w:r>
              <w:t>67.15</w:t>
            </w:r>
          </w:p>
        </w:tc>
        <w:tc>
          <w:tcPr>
            <w:tcW w:w="992" w:type="dxa"/>
          </w:tcPr>
          <w:p w14:paraId="0B0A603A" w14:textId="4AE9D12E" w:rsidR="00726004" w:rsidRDefault="00E74041" w:rsidP="00BE0ED6">
            <w:pPr>
              <w:jc w:val="center"/>
            </w:pPr>
            <w:r>
              <w:t>231.30</w:t>
            </w:r>
          </w:p>
        </w:tc>
        <w:tc>
          <w:tcPr>
            <w:tcW w:w="993" w:type="dxa"/>
          </w:tcPr>
          <w:p w14:paraId="281A5A80" w14:textId="657ABAD7" w:rsidR="00726004" w:rsidRDefault="00E74041" w:rsidP="00BE0ED6">
            <w:pPr>
              <w:jc w:val="center"/>
            </w:pPr>
            <w:r>
              <w:t>235.73</w:t>
            </w:r>
          </w:p>
        </w:tc>
        <w:tc>
          <w:tcPr>
            <w:tcW w:w="992" w:type="dxa"/>
          </w:tcPr>
          <w:p w14:paraId="160EBAA4" w14:textId="706CB69A" w:rsidR="00726004" w:rsidRDefault="00E74041" w:rsidP="00BE0ED6">
            <w:pPr>
              <w:jc w:val="center"/>
            </w:pPr>
            <w:r>
              <w:t>626.51</w:t>
            </w:r>
          </w:p>
        </w:tc>
        <w:tc>
          <w:tcPr>
            <w:tcW w:w="992" w:type="dxa"/>
          </w:tcPr>
          <w:p w14:paraId="4E1AECC2" w14:textId="385BD4A6" w:rsidR="00726004" w:rsidRDefault="00E74041" w:rsidP="00BE0ED6">
            <w:pPr>
              <w:jc w:val="center"/>
            </w:pPr>
            <w:r>
              <w:t>641.35</w:t>
            </w:r>
          </w:p>
        </w:tc>
      </w:tr>
      <w:tr w:rsidR="00726004" w14:paraId="4B664371" w14:textId="77777777" w:rsidTr="00BE0ED6">
        <w:tc>
          <w:tcPr>
            <w:tcW w:w="1296" w:type="dxa"/>
            <w:tcBorders>
              <w:bottom w:val="single" w:sz="4" w:space="0" w:color="auto"/>
            </w:tcBorders>
          </w:tcPr>
          <w:p w14:paraId="7CF1181B" w14:textId="77777777" w:rsidR="00726004" w:rsidRDefault="00726004" w:rsidP="00BE0ED6">
            <w:pPr>
              <w:jc w:val="both"/>
            </w:pPr>
            <w:r>
              <w:t>Reading</w:t>
            </w:r>
          </w:p>
        </w:tc>
        <w:tc>
          <w:tcPr>
            <w:tcW w:w="967" w:type="dxa"/>
            <w:tcBorders>
              <w:bottom w:val="single" w:sz="4" w:space="0" w:color="auto"/>
            </w:tcBorders>
          </w:tcPr>
          <w:p w14:paraId="4836CE33" w14:textId="67F667C4" w:rsidR="00726004" w:rsidRDefault="00E74041" w:rsidP="00BE0ED6">
            <w:pPr>
              <w:jc w:val="center"/>
            </w:pPr>
            <w:r>
              <w:t>392.29</w:t>
            </w:r>
          </w:p>
        </w:tc>
        <w:tc>
          <w:tcPr>
            <w:tcW w:w="993" w:type="dxa"/>
            <w:tcBorders>
              <w:bottom w:val="single" w:sz="4" w:space="0" w:color="auto"/>
            </w:tcBorders>
          </w:tcPr>
          <w:p w14:paraId="7991673F" w14:textId="67583B5C" w:rsidR="00726004" w:rsidRDefault="00E74041" w:rsidP="00BE0ED6">
            <w:pPr>
              <w:jc w:val="center"/>
            </w:pPr>
            <w:r>
              <w:t>435.29</w:t>
            </w:r>
          </w:p>
        </w:tc>
        <w:tc>
          <w:tcPr>
            <w:tcW w:w="992" w:type="dxa"/>
            <w:tcBorders>
              <w:bottom w:val="single" w:sz="4" w:space="0" w:color="auto"/>
            </w:tcBorders>
          </w:tcPr>
          <w:p w14:paraId="5A32CB3B" w14:textId="01667528" w:rsidR="00726004" w:rsidRDefault="00E74041" w:rsidP="00BE0ED6">
            <w:pPr>
              <w:jc w:val="center"/>
            </w:pPr>
            <w:r>
              <w:t>82.81</w:t>
            </w:r>
          </w:p>
        </w:tc>
        <w:tc>
          <w:tcPr>
            <w:tcW w:w="992" w:type="dxa"/>
            <w:tcBorders>
              <w:bottom w:val="single" w:sz="4" w:space="0" w:color="auto"/>
            </w:tcBorders>
          </w:tcPr>
          <w:p w14:paraId="69AB6D46" w14:textId="3E99D07A" w:rsidR="00726004" w:rsidRDefault="00E74041" w:rsidP="00BE0ED6">
            <w:pPr>
              <w:jc w:val="center"/>
            </w:pPr>
            <w:r>
              <w:t>73.67</w:t>
            </w:r>
          </w:p>
        </w:tc>
        <w:tc>
          <w:tcPr>
            <w:tcW w:w="992" w:type="dxa"/>
            <w:tcBorders>
              <w:bottom w:val="single" w:sz="4" w:space="0" w:color="auto"/>
            </w:tcBorders>
          </w:tcPr>
          <w:p w14:paraId="708C0446" w14:textId="62B48A0D" w:rsidR="00726004" w:rsidRDefault="00E74041" w:rsidP="00BE0ED6">
            <w:pPr>
              <w:jc w:val="center"/>
            </w:pPr>
            <w:r>
              <w:t>202.06</w:t>
            </w:r>
          </w:p>
        </w:tc>
        <w:tc>
          <w:tcPr>
            <w:tcW w:w="993" w:type="dxa"/>
            <w:tcBorders>
              <w:bottom w:val="single" w:sz="4" w:space="0" w:color="auto"/>
            </w:tcBorders>
          </w:tcPr>
          <w:p w14:paraId="468CD635" w14:textId="69BE5665" w:rsidR="00726004" w:rsidRDefault="00E74041" w:rsidP="00BE0ED6">
            <w:pPr>
              <w:jc w:val="center"/>
            </w:pPr>
            <w:r>
              <w:t>215.53</w:t>
            </w:r>
          </w:p>
        </w:tc>
        <w:tc>
          <w:tcPr>
            <w:tcW w:w="992" w:type="dxa"/>
            <w:tcBorders>
              <w:bottom w:val="single" w:sz="4" w:space="0" w:color="auto"/>
            </w:tcBorders>
          </w:tcPr>
          <w:p w14:paraId="240294EF" w14:textId="12104B10" w:rsidR="00726004" w:rsidRDefault="00E74041" w:rsidP="00BE0ED6">
            <w:pPr>
              <w:jc w:val="center"/>
            </w:pPr>
            <w:r>
              <w:t>645.91</w:t>
            </w:r>
          </w:p>
        </w:tc>
        <w:tc>
          <w:tcPr>
            <w:tcW w:w="992" w:type="dxa"/>
            <w:tcBorders>
              <w:bottom w:val="single" w:sz="4" w:space="0" w:color="auto"/>
            </w:tcBorders>
          </w:tcPr>
          <w:p w14:paraId="12185AF6" w14:textId="7286B4C4" w:rsidR="00726004" w:rsidRDefault="00E74041" w:rsidP="00BE0ED6">
            <w:pPr>
              <w:jc w:val="center"/>
            </w:pPr>
            <w:r>
              <w:t>656.96</w:t>
            </w:r>
          </w:p>
        </w:tc>
      </w:tr>
    </w:tbl>
    <w:p w14:paraId="0F4F78F4" w14:textId="77777777" w:rsidR="00660B77" w:rsidRDefault="00660B77" w:rsidP="00E34FD0"/>
    <w:p w14:paraId="76DFD166" w14:textId="77777777" w:rsidR="00660B77" w:rsidRPr="00E34FD0" w:rsidRDefault="00660B77" w:rsidP="00E34FD0"/>
    <w:p w14:paraId="686E6D49" w14:textId="50C73276" w:rsidR="00CC7019" w:rsidRDefault="00E66394" w:rsidP="00EF4FBD">
      <w:pPr>
        <w:pStyle w:val="Heading2"/>
        <w:numPr>
          <w:ilvl w:val="1"/>
          <w:numId w:val="6"/>
        </w:numPr>
      </w:pPr>
      <w:r>
        <w:t>Relationship between</w:t>
      </w:r>
      <w:r w:rsidR="007D19DC">
        <w:t xml:space="preserve"> </w:t>
      </w:r>
      <w:r w:rsidR="003A4466">
        <w:t xml:space="preserve">gender and ESCS on </w:t>
      </w:r>
      <w:r w:rsidR="00956DF9">
        <w:t xml:space="preserve">the combined </w:t>
      </w:r>
      <w:r w:rsidR="003A4466">
        <w:t>students’ achievements</w:t>
      </w:r>
      <w:r w:rsidR="00956DF9">
        <w:t xml:space="preserve"> </w:t>
      </w:r>
    </w:p>
    <w:p w14:paraId="59330B61" w14:textId="5295FA78" w:rsidR="00D479DB" w:rsidRDefault="003A4466" w:rsidP="009D64E8">
      <w:pPr>
        <w:jc w:val="both"/>
        <w:rPr>
          <w:color w:val="000000" w:themeColor="text1"/>
        </w:rPr>
      </w:pPr>
      <w:r>
        <w:t xml:space="preserve">A </w:t>
      </w:r>
      <w:r w:rsidR="005B6145">
        <w:t>multivariate linear regression</w:t>
      </w:r>
      <w:r>
        <w:t xml:space="preserve"> </w:t>
      </w:r>
      <w:r w:rsidR="005B6145">
        <w:t xml:space="preserve">analysis </w:t>
      </w:r>
      <w:r>
        <w:t xml:space="preserve">was conducted to explore the </w:t>
      </w:r>
      <w:r w:rsidR="005B6145">
        <w:t xml:space="preserve">relationship between gender and ESCS on </w:t>
      </w:r>
      <w:r>
        <w:t xml:space="preserve">students’ achievements </w:t>
      </w:r>
      <w:r w:rsidR="005B6145">
        <w:t>(</w:t>
      </w:r>
      <w:r>
        <w:t>mathematics, science and reading</w:t>
      </w:r>
      <w:r w:rsidR="005B6145">
        <w:t>)</w:t>
      </w:r>
      <w:r>
        <w:t xml:space="preserve">. </w:t>
      </w:r>
      <w:r w:rsidR="00AE3BCC" w:rsidRPr="00E10C89">
        <w:rPr>
          <w:color w:val="000000" w:themeColor="text1"/>
        </w:rPr>
        <w:t xml:space="preserve">Preliminary assumption testing was performed to check the </w:t>
      </w:r>
      <w:r w:rsidR="00D479DB">
        <w:rPr>
          <w:color w:val="000000" w:themeColor="text1"/>
        </w:rPr>
        <w:t>homoscedasticity</w:t>
      </w:r>
      <w:r w:rsidR="000956A0" w:rsidRPr="00E10C89">
        <w:rPr>
          <w:color w:val="000000" w:themeColor="text1"/>
        </w:rPr>
        <w:t xml:space="preserve"> and multivariate normality</w:t>
      </w:r>
      <w:r w:rsidR="00AE3BCC" w:rsidRPr="00E10C89">
        <w:rPr>
          <w:color w:val="000000" w:themeColor="text1"/>
        </w:rPr>
        <w:t>.</w:t>
      </w:r>
      <w:r w:rsidR="000956A0" w:rsidRPr="00E10C89">
        <w:rPr>
          <w:color w:val="000000" w:themeColor="text1"/>
        </w:rPr>
        <w:t xml:space="preserve"> </w:t>
      </w:r>
      <w:r w:rsidR="00D479DB">
        <w:rPr>
          <w:color w:val="000000" w:themeColor="text1"/>
        </w:rPr>
        <w:t>The plot of standardized residual versus predicted valu</w:t>
      </w:r>
      <w:r w:rsidR="00A022EC">
        <w:rPr>
          <w:color w:val="000000" w:themeColor="text1"/>
        </w:rPr>
        <w:t>e is useful for checking the assumption of homoscedasticity. In this plot, if the red line in the horizontal (</w:t>
      </w:r>
      <m:oMath>
        <m:r>
          <w:rPr>
            <w:rFonts w:ascii="Cambria Math" w:hAnsi="Cambria Math"/>
            <w:color w:val="000000" w:themeColor="text1"/>
          </w:rPr>
          <m:t>y=0</m:t>
        </m:r>
      </m:oMath>
      <w:r w:rsidR="00A022EC">
        <w:rPr>
          <w:color w:val="000000" w:themeColor="text1"/>
        </w:rPr>
        <w:t>) is flat and horizontal with equally randomly spread data points, then the homoscedasticity is satisfied. However, if the data points are not randomly spread out, then this assumption is violated. Figure 1 a) and b) show horizontal lines with randomly scattered data points around the red line, suggesting that the homoscedasticity assumption for the two models are satisfied.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F25BCF" w14:paraId="687873F8" w14:textId="77777777" w:rsidTr="00D479DB">
        <w:tc>
          <w:tcPr>
            <w:tcW w:w="9061" w:type="dxa"/>
          </w:tcPr>
          <w:p w14:paraId="5FF45C10" w14:textId="77777777" w:rsidR="00F25BCF" w:rsidRDefault="00F25BCF" w:rsidP="009D64E8">
            <w:pPr>
              <w:jc w:val="both"/>
              <w:rPr>
                <w:color w:val="000000" w:themeColor="text1"/>
              </w:rPr>
            </w:pPr>
            <w:r>
              <w:rPr>
                <w:color w:val="000000" w:themeColor="text1"/>
              </w:rPr>
              <w:lastRenderedPageBreak/>
              <w:t>a) Without interaction</w:t>
            </w:r>
          </w:p>
          <w:p w14:paraId="58344644" w14:textId="3C7CC4AE" w:rsidR="00F25BCF" w:rsidRDefault="00F25BCF" w:rsidP="009D64E8">
            <w:pPr>
              <w:jc w:val="both"/>
              <w:rPr>
                <w:color w:val="000000" w:themeColor="text1"/>
              </w:rPr>
            </w:pPr>
            <w:r w:rsidRPr="00F25BCF">
              <w:rPr>
                <w:noProof/>
                <w:lang w:val="en-US"/>
              </w:rPr>
              <w:drawing>
                <wp:inline distT="0" distB="0" distL="0" distR="0" wp14:anchorId="19920C26" wp14:editId="12E8C57B">
                  <wp:extent cx="5760085" cy="1603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85" cy="1603375"/>
                          </a:xfrm>
                          <a:prstGeom prst="rect">
                            <a:avLst/>
                          </a:prstGeom>
                        </pic:spPr>
                      </pic:pic>
                    </a:graphicData>
                  </a:graphic>
                </wp:inline>
              </w:drawing>
            </w:r>
          </w:p>
        </w:tc>
      </w:tr>
      <w:tr w:rsidR="00F25BCF" w14:paraId="2D5795AE" w14:textId="77777777" w:rsidTr="00D479DB">
        <w:tc>
          <w:tcPr>
            <w:tcW w:w="9061" w:type="dxa"/>
          </w:tcPr>
          <w:p w14:paraId="25E826A6" w14:textId="77777777" w:rsidR="00F25BCF" w:rsidRDefault="00F25BCF" w:rsidP="009D64E8">
            <w:pPr>
              <w:jc w:val="both"/>
              <w:rPr>
                <w:color w:val="000000" w:themeColor="text1"/>
              </w:rPr>
            </w:pPr>
            <w:r>
              <w:rPr>
                <w:color w:val="000000" w:themeColor="text1"/>
              </w:rPr>
              <w:t>b) With interaction</w:t>
            </w:r>
          </w:p>
          <w:p w14:paraId="7005E60E" w14:textId="128294A0" w:rsidR="00D479DB" w:rsidRDefault="00D479DB" w:rsidP="009D64E8">
            <w:pPr>
              <w:jc w:val="both"/>
              <w:rPr>
                <w:color w:val="000000" w:themeColor="text1"/>
              </w:rPr>
            </w:pPr>
            <w:r>
              <w:rPr>
                <w:noProof/>
                <w:lang w:val="en-US"/>
              </w:rPr>
              <w:drawing>
                <wp:inline distT="0" distB="0" distL="0" distR="0" wp14:anchorId="368C6F21" wp14:editId="449016E3">
                  <wp:extent cx="5760085" cy="1603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1603375"/>
                          </a:xfrm>
                          <a:prstGeom prst="rect">
                            <a:avLst/>
                          </a:prstGeom>
                        </pic:spPr>
                      </pic:pic>
                    </a:graphicData>
                  </a:graphic>
                </wp:inline>
              </w:drawing>
            </w:r>
          </w:p>
        </w:tc>
      </w:tr>
    </w:tbl>
    <w:p w14:paraId="2169E3F6" w14:textId="77777777" w:rsidR="00F25BCF" w:rsidRDefault="00F25BCF" w:rsidP="009D64E8">
      <w:pPr>
        <w:jc w:val="both"/>
        <w:rPr>
          <w:color w:val="000000" w:themeColor="text1"/>
        </w:rPr>
      </w:pPr>
    </w:p>
    <w:p w14:paraId="022B0E94" w14:textId="79D9E101" w:rsidR="00307D3F" w:rsidRDefault="00D479DB" w:rsidP="00D479DB">
      <w:pPr>
        <w:jc w:val="center"/>
        <w:rPr>
          <w:color w:val="000000" w:themeColor="text1"/>
        </w:rPr>
      </w:pPr>
      <w:r>
        <w:rPr>
          <w:color w:val="000000" w:themeColor="text1"/>
        </w:rPr>
        <w:t>Figure 1. Plot of standardized residuals vs fitted values for each outcome</w:t>
      </w:r>
    </w:p>
    <w:p w14:paraId="09A9D7BE" w14:textId="77777777" w:rsidR="00307D3F" w:rsidRDefault="00307D3F" w:rsidP="009D64E8">
      <w:pPr>
        <w:jc w:val="both"/>
        <w:rPr>
          <w:color w:val="000000" w:themeColor="text1"/>
        </w:rPr>
      </w:pPr>
    </w:p>
    <w:p w14:paraId="784931BB" w14:textId="452898AD" w:rsidR="00E44E73" w:rsidRDefault="00037AE7" w:rsidP="00307D3F">
      <w:pPr>
        <w:ind w:firstLine="426"/>
        <w:jc w:val="both"/>
        <w:rPr>
          <w:color w:val="000000" w:themeColor="text1"/>
        </w:rPr>
      </w:pPr>
      <w:r w:rsidRPr="00125159">
        <w:rPr>
          <w:color w:val="000000" w:themeColor="text1"/>
        </w:rPr>
        <w:t xml:space="preserve">In this </w:t>
      </w:r>
      <w:r w:rsidR="00032D90" w:rsidRPr="00125159">
        <w:rPr>
          <w:color w:val="000000" w:themeColor="text1"/>
        </w:rPr>
        <w:t>study</w:t>
      </w:r>
      <w:r w:rsidRPr="00125159">
        <w:rPr>
          <w:color w:val="000000" w:themeColor="text1"/>
        </w:rPr>
        <w:t xml:space="preserve">, </w:t>
      </w:r>
      <w:r w:rsidR="00032D90" w:rsidRPr="00125159">
        <w:rPr>
          <w:color w:val="000000" w:themeColor="text1"/>
        </w:rPr>
        <w:t xml:space="preserve">it is useful to </w:t>
      </w:r>
      <w:proofErr w:type="spellStart"/>
      <w:r w:rsidR="00032D90" w:rsidRPr="00125159">
        <w:rPr>
          <w:color w:val="000000" w:themeColor="text1"/>
        </w:rPr>
        <w:t>analyz</w:t>
      </w:r>
      <w:r w:rsidR="00C04414">
        <w:rPr>
          <w:color w:val="000000" w:themeColor="text1"/>
        </w:rPr>
        <w:t>e</w:t>
      </w:r>
      <w:proofErr w:type="spellEnd"/>
      <w:r w:rsidR="00032D90" w:rsidRPr="00125159">
        <w:rPr>
          <w:color w:val="000000" w:themeColor="text1"/>
        </w:rPr>
        <w:t xml:space="preserve"> </w:t>
      </w:r>
      <w:r w:rsidR="00C04414">
        <w:rPr>
          <w:color w:val="000000" w:themeColor="text1"/>
        </w:rPr>
        <w:t xml:space="preserve">a </w:t>
      </w:r>
      <w:r w:rsidRPr="00125159">
        <w:rPr>
          <w:color w:val="000000" w:themeColor="text1"/>
        </w:rPr>
        <w:t xml:space="preserve">multivariate plot (i.e. Chi-Square Q-Q plots) </w:t>
      </w:r>
      <w:r w:rsidR="00032D90" w:rsidRPr="00125159">
        <w:rPr>
          <w:color w:val="000000" w:themeColor="text1"/>
        </w:rPr>
        <w:t xml:space="preserve">along with </w:t>
      </w:r>
      <w:r w:rsidR="00C04414">
        <w:rPr>
          <w:color w:val="000000" w:themeColor="text1"/>
        </w:rPr>
        <w:t xml:space="preserve">a </w:t>
      </w:r>
      <w:r w:rsidR="00032D90" w:rsidRPr="00125159">
        <w:rPr>
          <w:color w:val="000000" w:themeColor="text1"/>
        </w:rPr>
        <w:t xml:space="preserve">multivariate normality test to reach a more reliable decision. The </w:t>
      </w:r>
      <w:proofErr w:type="spellStart"/>
      <w:r w:rsidR="00032D90" w:rsidRPr="00125159">
        <w:rPr>
          <w:color w:val="000000" w:themeColor="text1"/>
        </w:rPr>
        <w:t>Henze-Zirkler’s</w:t>
      </w:r>
      <w:proofErr w:type="spellEnd"/>
      <w:r w:rsidR="00032D90" w:rsidRPr="00125159">
        <w:rPr>
          <w:color w:val="000000" w:themeColor="text1"/>
        </w:rPr>
        <w:t xml:space="preserve"> test</w:t>
      </w:r>
      <w:r w:rsidR="00E43AB8">
        <w:rPr>
          <w:color w:val="000000" w:themeColor="text1"/>
        </w:rPr>
        <w:t>s</w:t>
      </w:r>
      <w:r w:rsidR="00032D90" w:rsidRPr="00125159">
        <w:rPr>
          <w:color w:val="000000" w:themeColor="text1"/>
        </w:rPr>
        <w:t xml:space="preserve"> indicate that </w:t>
      </w:r>
      <w:r w:rsidR="00E43AB8">
        <w:rPr>
          <w:color w:val="000000" w:themeColor="text1"/>
        </w:rPr>
        <w:t xml:space="preserve">the multivariate residuals for model without interaction </w:t>
      </w:r>
      <w:r w:rsidR="00032D90" w:rsidRPr="00125159">
        <w:rPr>
          <w:color w:val="000000" w:themeColor="text1"/>
        </w:rPr>
        <w:t>(</w:t>
      </w:r>
      <m:oMath>
        <m:r>
          <w:rPr>
            <w:rFonts w:ascii="Cambria Math" w:hAnsi="Cambria Math"/>
            <w:color w:val="000000" w:themeColor="text1"/>
          </w:rPr>
          <m:t>HZ</m:t>
        </m:r>
      </m:oMath>
      <w:r w:rsidR="00032D90" w:rsidRPr="00125159">
        <w:rPr>
          <w:color w:val="000000" w:themeColor="text1"/>
        </w:rPr>
        <w:t>=</w:t>
      </w:r>
      <w:r w:rsidR="00E43AB8">
        <w:rPr>
          <w:color w:val="000000" w:themeColor="text1"/>
        </w:rPr>
        <w:t>1.040</w:t>
      </w:r>
      <w:r w:rsidR="00032D90" w:rsidRPr="00125159">
        <w:rPr>
          <w:color w:val="000000" w:themeColor="text1"/>
        </w:rPr>
        <w:t xml:space="preserve">, </w:t>
      </w:r>
      <m:oMath>
        <m:r>
          <w:rPr>
            <w:rFonts w:ascii="Cambria Math" w:hAnsi="Cambria Math"/>
            <w:color w:val="000000" w:themeColor="text1"/>
          </w:rPr>
          <m:t>P=0.107</m:t>
        </m:r>
      </m:oMath>
      <w:r w:rsidR="00032D90" w:rsidRPr="00125159">
        <w:rPr>
          <w:color w:val="000000" w:themeColor="text1"/>
        </w:rPr>
        <w:t>)</w:t>
      </w:r>
      <w:r w:rsidR="00E43AB8">
        <w:rPr>
          <w:color w:val="000000" w:themeColor="text1"/>
        </w:rPr>
        <w:t xml:space="preserve"> and model with interaction (</w:t>
      </w:r>
      <m:oMath>
        <m:r>
          <w:rPr>
            <w:rFonts w:ascii="Cambria Math" w:hAnsi="Cambria Math"/>
            <w:color w:val="000000" w:themeColor="text1"/>
          </w:rPr>
          <m:t>Hz=1.048, P=0.097</m:t>
        </m:r>
      </m:oMath>
      <w:r w:rsidR="00E43AB8">
        <w:rPr>
          <w:color w:val="000000" w:themeColor="text1"/>
        </w:rPr>
        <w:t xml:space="preserve">) </w:t>
      </w:r>
      <w:r w:rsidR="00032D90" w:rsidRPr="00125159">
        <w:rPr>
          <w:color w:val="000000" w:themeColor="text1"/>
        </w:rPr>
        <w:t xml:space="preserve">follow </w:t>
      </w:r>
      <w:r w:rsidR="009B13B0">
        <w:rPr>
          <w:color w:val="000000" w:themeColor="text1"/>
        </w:rPr>
        <w:t>the</w:t>
      </w:r>
      <w:r w:rsidR="00E43AB8">
        <w:rPr>
          <w:color w:val="000000" w:themeColor="text1"/>
        </w:rPr>
        <w:t xml:space="preserve"> </w:t>
      </w:r>
      <w:r w:rsidR="00032D90" w:rsidRPr="00125159">
        <w:rPr>
          <w:color w:val="000000" w:themeColor="text1"/>
        </w:rPr>
        <w:t>multivariate normality at significant level 0.05</w:t>
      </w:r>
      <w:r w:rsidR="00E43AB8">
        <w:rPr>
          <w:color w:val="000000" w:themeColor="text1"/>
        </w:rPr>
        <w:t>. The</w:t>
      </w:r>
      <w:r w:rsidR="00E71C26" w:rsidRPr="00125159">
        <w:rPr>
          <w:color w:val="000000" w:themeColor="text1"/>
        </w:rPr>
        <w:t xml:space="preserve"> </w:t>
      </w:r>
      <w:r w:rsidR="005513DB" w:rsidRPr="00125159">
        <w:rPr>
          <w:color w:val="000000" w:themeColor="text1"/>
        </w:rPr>
        <w:t>Chi-Square Q-Q plot</w:t>
      </w:r>
      <w:r w:rsidR="009B13B0">
        <w:rPr>
          <w:color w:val="000000" w:themeColor="text1"/>
        </w:rPr>
        <w:t>s</w:t>
      </w:r>
      <w:r w:rsidR="005513DB" w:rsidRPr="00125159">
        <w:rPr>
          <w:color w:val="000000" w:themeColor="text1"/>
        </w:rPr>
        <w:t xml:space="preserve"> show small deviations from </w:t>
      </w:r>
      <w:r w:rsidR="00E71C26" w:rsidRPr="00125159">
        <w:rPr>
          <w:color w:val="000000" w:themeColor="text1"/>
        </w:rPr>
        <w:t>the straight line indicating the satisfying multivariate normality</w:t>
      </w:r>
      <w:r w:rsidR="00125159">
        <w:rPr>
          <w:color w:val="000000" w:themeColor="text1"/>
        </w:rPr>
        <w:t xml:space="preserve"> (Figure </w:t>
      </w:r>
      <w:r w:rsidR="00D479DB">
        <w:rPr>
          <w:color w:val="000000" w:themeColor="text1"/>
        </w:rPr>
        <w:t>2</w:t>
      </w:r>
      <w:r w:rsidR="00125159">
        <w:rPr>
          <w:color w:val="000000" w:themeColor="text1"/>
        </w:rPr>
        <w:t>)</w:t>
      </w:r>
      <w:r w:rsidR="00E71C26" w:rsidRPr="00125159">
        <w:rPr>
          <w:color w:val="000000" w:themeColor="text1"/>
        </w:rPr>
        <w:t>.</w:t>
      </w:r>
      <w:r w:rsidR="00E43AB8">
        <w:rPr>
          <w:color w:val="000000" w:themeColor="text1"/>
        </w:rPr>
        <w:t xml:space="preserve"> </w:t>
      </w:r>
    </w:p>
    <w:p w14:paraId="09C04563" w14:textId="3032A202" w:rsidR="00E43AB8" w:rsidRDefault="00E43AB8" w:rsidP="00E43AB8">
      <w:pPr>
        <w:jc w:val="both"/>
        <w:rPr>
          <w:color w:val="000000" w:themeColor="text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3501"/>
      </w:tblGrid>
      <w:tr w:rsidR="00E43AB8" w14:paraId="51586006" w14:textId="77777777" w:rsidTr="00537596">
        <w:trPr>
          <w:jc w:val="center"/>
        </w:trPr>
        <w:tc>
          <w:tcPr>
            <w:tcW w:w="0" w:type="auto"/>
          </w:tcPr>
          <w:p w14:paraId="7DF2B8BB" w14:textId="557F6B53" w:rsidR="00E43AB8" w:rsidRDefault="00E43AB8" w:rsidP="00E43AB8">
            <w:pPr>
              <w:jc w:val="both"/>
              <w:rPr>
                <w:color w:val="000000" w:themeColor="text1"/>
              </w:rPr>
            </w:pPr>
            <w:r>
              <w:rPr>
                <w:color w:val="000000" w:themeColor="text1"/>
              </w:rPr>
              <w:t>a) Without interaction</w:t>
            </w:r>
          </w:p>
          <w:p w14:paraId="65A67AA6" w14:textId="63A5E46E" w:rsidR="00E43AB8" w:rsidRDefault="00E43AB8" w:rsidP="00E43AB8">
            <w:pPr>
              <w:jc w:val="both"/>
              <w:rPr>
                <w:color w:val="000000" w:themeColor="text1"/>
              </w:rPr>
            </w:pPr>
            <w:r w:rsidRPr="00E43AB8">
              <w:rPr>
                <w:noProof/>
                <w:lang w:val="en-US"/>
              </w:rPr>
              <w:drawing>
                <wp:inline distT="0" distB="0" distL="0" distR="0" wp14:anchorId="6E392B99" wp14:editId="0DB3DDCE">
                  <wp:extent cx="2086093"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86093" cy="1800000"/>
                          </a:xfrm>
                          <a:prstGeom prst="rect">
                            <a:avLst/>
                          </a:prstGeom>
                        </pic:spPr>
                      </pic:pic>
                    </a:graphicData>
                  </a:graphic>
                </wp:inline>
              </w:drawing>
            </w:r>
          </w:p>
        </w:tc>
        <w:tc>
          <w:tcPr>
            <w:tcW w:w="0" w:type="auto"/>
          </w:tcPr>
          <w:p w14:paraId="5E4B9A30" w14:textId="16726E5A" w:rsidR="00E43AB8" w:rsidRDefault="00E43AB8" w:rsidP="00E43AB8">
            <w:pPr>
              <w:jc w:val="both"/>
              <w:rPr>
                <w:color w:val="000000" w:themeColor="text1"/>
              </w:rPr>
            </w:pPr>
            <w:r>
              <w:rPr>
                <w:color w:val="000000" w:themeColor="text1"/>
              </w:rPr>
              <w:t>b) With interaction</w:t>
            </w:r>
          </w:p>
          <w:p w14:paraId="3EBC1AAE" w14:textId="3DED8359" w:rsidR="00E43AB8" w:rsidRDefault="00E43AB8" w:rsidP="00E43AB8">
            <w:pPr>
              <w:jc w:val="both"/>
              <w:rPr>
                <w:color w:val="000000" w:themeColor="text1"/>
              </w:rPr>
            </w:pPr>
            <w:r>
              <w:rPr>
                <w:noProof/>
                <w:lang w:val="en-US"/>
              </w:rPr>
              <w:drawing>
                <wp:inline distT="0" distB="0" distL="0" distR="0" wp14:anchorId="26E224B2" wp14:editId="7B6E960A">
                  <wp:extent cx="2086092"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86092" cy="1800000"/>
                          </a:xfrm>
                          <a:prstGeom prst="rect">
                            <a:avLst/>
                          </a:prstGeom>
                        </pic:spPr>
                      </pic:pic>
                    </a:graphicData>
                  </a:graphic>
                </wp:inline>
              </w:drawing>
            </w:r>
          </w:p>
        </w:tc>
      </w:tr>
    </w:tbl>
    <w:p w14:paraId="0BB1CA92" w14:textId="304B1B06" w:rsidR="00CC7019" w:rsidRPr="00CC7019" w:rsidRDefault="00CC7019" w:rsidP="00CC7019">
      <w:pPr>
        <w:jc w:val="center"/>
      </w:pPr>
      <w:r>
        <w:t xml:space="preserve">Figure </w:t>
      </w:r>
      <w:r w:rsidR="00D479DB">
        <w:t>2</w:t>
      </w:r>
      <w:r>
        <w:t xml:space="preserve">. </w:t>
      </w:r>
      <w:r w:rsidR="00037AE7">
        <w:t>Chi-Square Q-Q plot</w:t>
      </w:r>
      <w:r w:rsidR="00E43AB8">
        <w:t>s</w:t>
      </w:r>
      <w:r w:rsidR="00037AE7">
        <w:t xml:space="preserve"> for </w:t>
      </w:r>
      <w:r w:rsidR="00E43AB8">
        <w:t>combined residuals</w:t>
      </w:r>
      <w:r w:rsidR="00037AE7">
        <w:t xml:space="preserve"> </w:t>
      </w:r>
    </w:p>
    <w:p w14:paraId="6AF78FD7" w14:textId="77777777" w:rsidR="00775669" w:rsidRDefault="00775669" w:rsidP="009F31C8">
      <w:pPr>
        <w:jc w:val="both"/>
      </w:pPr>
    </w:p>
    <w:p w14:paraId="4BFA6C14" w14:textId="193098DB" w:rsidR="00C570F1" w:rsidRDefault="00C570F1" w:rsidP="00865F57">
      <w:pPr>
        <w:ind w:firstLine="426"/>
        <w:jc w:val="both"/>
      </w:pPr>
      <w:r w:rsidRPr="00C570F1">
        <w:t xml:space="preserve">A </w:t>
      </w:r>
      <w:r>
        <w:t>multivariate regression was performed utilizing gender and ESCS as predictors in order to determine if students’ achievements (math, science, reading scores) could be predicted as a function of gender and ESCS. The analyses of model without interaction</w:t>
      </w:r>
      <w:r w:rsidR="007A57FC">
        <w:t xml:space="preserve"> </w:t>
      </w:r>
      <w:r>
        <w:t xml:space="preserve">were found to be statistically significant </w:t>
      </w:r>
      <w:r w:rsidR="007A57FC">
        <w:t>affecting math (</w:t>
      </w:r>
      <m:oMath>
        <m:r>
          <w:rPr>
            <w:rFonts w:ascii="Cambria Math" w:hAnsi="Cambria Math"/>
          </w:rPr>
          <m:t>F</m:t>
        </m:r>
        <m:d>
          <m:dPr>
            <m:ctrlPr>
              <w:rPr>
                <w:rFonts w:ascii="Cambria Math" w:hAnsi="Cambria Math"/>
                <w:i/>
              </w:rPr>
            </m:ctrlPr>
          </m:dPr>
          <m:e>
            <m:r>
              <w:rPr>
                <w:rFonts w:ascii="Cambria Math" w:hAnsi="Cambria Math"/>
              </w:rPr>
              <m:t>2,1853</m:t>
            </m:r>
          </m:e>
        </m:d>
        <m:r>
          <w:rPr>
            <w:rFonts w:ascii="Cambria Math" w:hAnsi="Cambria Math"/>
          </w:rPr>
          <m:t>=193.1</m:t>
        </m:r>
      </m:oMath>
      <w:r>
        <w:t xml:space="preserve">, </w:t>
      </w:r>
      <m:oMath>
        <m:r>
          <w:rPr>
            <w:rFonts w:ascii="Cambria Math" w:hAnsi="Cambria Math"/>
          </w:rPr>
          <m:t>p&lt;0.001</m:t>
        </m:r>
      </m:oMath>
      <w:r w:rsidR="007A57FC">
        <w:t>), science</w:t>
      </w:r>
      <w:r>
        <w:t xml:space="preserve"> </w:t>
      </w:r>
      <w:r w:rsidR="007A57FC">
        <w:t>(</w:t>
      </w:r>
      <m:oMath>
        <m:r>
          <w:rPr>
            <w:rFonts w:ascii="Cambria Math" w:hAnsi="Cambria Math"/>
          </w:rPr>
          <m:t>F</m:t>
        </m:r>
        <m:d>
          <m:dPr>
            <m:ctrlPr>
              <w:rPr>
                <w:rFonts w:ascii="Cambria Math" w:hAnsi="Cambria Math"/>
                <w:i/>
              </w:rPr>
            </m:ctrlPr>
          </m:dPr>
          <m:e>
            <m:r>
              <w:rPr>
                <w:rFonts w:ascii="Cambria Math" w:hAnsi="Cambria Math"/>
              </w:rPr>
              <m:t>2,1853</m:t>
            </m:r>
          </m:e>
        </m:d>
        <m:r>
          <w:rPr>
            <w:rFonts w:ascii="Cambria Math" w:hAnsi="Cambria Math"/>
          </w:rPr>
          <m:t>=194.5</m:t>
        </m:r>
      </m:oMath>
      <w:r>
        <w:t xml:space="preserve">, </w:t>
      </w:r>
      <m:oMath>
        <m:r>
          <w:rPr>
            <w:rFonts w:ascii="Cambria Math" w:hAnsi="Cambria Math"/>
          </w:rPr>
          <m:t>p&lt;0.001</m:t>
        </m:r>
      </m:oMath>
      <w:r w:rsidR="007A57FC">
        <w:t>) and reading (</w:t>
      </w:r>
      <m:oMath>
        <m:r>
          <w:rPr>
            <w:rFonts w:ascii="Cambria Math" w:hAnsi="Cambria Math"/>
          </w:rPr>
          <m:t>F</m:t>
        </m:r>
        <m:d>
          <m:dPr>
            <m:ctrlPr>
              <w:rPr>
                <w:rFonts w:ascii="Cambria Math" w:hAnsi="Cambria Math"/>
                <w:i/>
              </w:rPr>
            </m:ctrlPr>
          </m:dPr>
          <m:e>
            <m:r>
              <w:rPr>
                <w:rFonts w:ascii="Cambria Math" w:hAnsi="Cambria Math"/>
              </w:rPr>
              <m:t>2,1853</m:t>
            </m:r>
          </m:e>
        </m:d>
        <m:r>
          <w:rPr>
            <w:rFonts w:ascii="Cambria Math" w:hAnsi="Cambria Math"/>
          </w:rPr>
          <m:t>=235.7,p&lt;0.001</m:t>
        </m:r>
      </m:oMath>
      <w:r w:rsidR="007A57FC">
        <w:t>))</w:t>
      </w:r>
      <w:r>
        <w:t>, indicating that gender and ESCS are good predictors of the</w:t>
      </w:r>
      <w:r w:rsidR="007A57FC">
        <w:t xml:space="preserve"> </w:t>
      </w:r>
      <w:r w:rsidR="007A57FC">
        <w:lastRenderedPageBreak/>
        <w:t>math, science and reading</w:t>
      </w:r>
      <w:r>
        <w:t xml:space="preserve">. </w:t>
      </w:r>
      <w:r w:rsidR="00D93084">
        <w:t>The adjusted-</w:t>
      </w:r>
      <m:oMath>
        <m:r>
          <w:rPr>
            <w:rFonts w:ascii="Cambria Math" w:hAnsi="Cambria Math"/>
          </w:rPr>
          <m:t>R</m:t>
        </m:r>
      </m:oMath>
      <w:r w:rsidR="00D93084">
        <w:t xml:space="preserve"> square values range from 0.171 to 0.202 indicating that the percentage of variation explained by the explanatory variables to the outcome is small</w:t>
      </w:r>
      <w:r w:rsidR="00DC5B8B">
        <w:t xml:space="preserve"> on each outcome</w:t>
      </w:r>
      <w:r w:rsidR="00D93084">
        <w:t xml:space="preserve">. The low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00D93084">
        <w:t xml:space="preserve"> value in social science or education research is acceptable </w:t>
      </w:r>
      <w:r w:rsidR="00655DDB">
        <w:t>[18]</w:t>
      </w:r>
      <w:r w:rsidR="00D93084">
        <w:t xml:space="preserve">. </w:t>
      </w:r>
      <w:r w:rsidR="00AF571B">
        <w:t xml:space="preserve">In addition, </w:t>
      </w:r>
      <w:r w:rsidR="00865F57">
        <w:t xml:space="preserve">a significant multivariate effect on the combined achievements for gender was also found with </w:t>
      </w:r>
      <m:oMath>
        <m:r>
          <w:rPr>
            <w:rFonts w:ascii="Cambria Math" w:hAnsi="Cambria Math"/>
          </w:rPr>
          <m:t>F</m:t>
        </m:r>
        <m:d>
          <m:dPr>
            <m:ctrlPr>
              <w:rPr>
                <w:rFonts w:ascii="Cambria Math" w:hAnsi="Cambria Math"/>
                <w:i/>
              </w:rPr>
            </m:ctrlPr>
          </m:dPr>
          <m:e>
            <m:r>
              <w:rPr>
                <w:rFonts w:ascii="Cambria Math" w:hAnsi="Cambria Math"/>
              </w:rPr>
              <m:t>3,1851</m:t>
            </m:r>
          </m:e>
        </m:d>
        <m:r>
          <w:rPr>
            <w:rFonts w:ascii="Cambria Math" w:hAnsi="Cambria Math"/>
          </w:rPr>
          <m:t>=91.925</m:t>
        </m:r>
      </m:oMath>
      <w:r w:rsidR="00865F57">
        <w:t xml:space="preserve">, p&lt;0.001, Pillai = 0.130 and for ESCS was found with </w:t>
      </w:r>
      <m:oMath>
        <m:r>
          <w:rPr>
            <w:rFonts w:ascii="Cambria Math" w:hAnsi="Cambria Math"/>
          </w:rPr>
          <m:t>F</m:t>
        </m:r>
        <m:d>
          <m:dPr>
            <m:ctrlPr>
              <w:rPr>
                <w:rFonts w:ascii="Cambria Math" w:hAnsi="Cambria Math"/>
                <w:i/>
              </w:rPr>
            </m:ctrlPr>
          </m:dPr>
          <m:e>
            <m:r>
              <w:rPr>
                <w:rFonts w:ascii="Cambria Math" w:hAnsi="Cambria Math"/>
              </w:rPr>
              <m:t>3,1851</m:t>
            </m:r>
          </m:e>
        </m:d>
        <m:r>
          <w:rPr>
            <w:rFonts w:ascii="Cambria Math" w:hAnsi="Cambria Math"/>
          </w:rPr>
          <m:t>=119.477</m:t>
        </m:r>
      </m:oMath>
      <w:r w:rsidR="00865F57">
        <w:t xml:space="preserve">, p&lt;0.001, Pillai = 0.162. </w:t>
      </w:r>
      <w:r w:rsidR="00D93084">
        <w:t xml:space="preserve">Moreover, </w:t>
      </w:r>
      <w:r w:rsidR="0042219B">
        <w:t>the interaction</w:t>
      </w:r>
      <w:r w:rsidR="00D93084">
        <w:t>s</w:t>
      </w:r>
      <w:r w:rsidR="0042219B">
        <w:t xml:space="preserve"> of gender and ESCS </w:t>
      </w:r>
      <w:r w:rsidR="00D93084">
        <w:t xml:space="preserve">on each outcome </w:t>
      </w:r>
      <w:r w:rsidR="0042219B">
        <w:t>w</w:t>
      </w:r>
      <w:r w:rsidR="00D93084">
        <w:t>ere</w:t>
      </w:r>
      <w:r w:rsidR="0042219B">
        <w:t xml:space="preserve"> not significant </w:t>
      </w:r>
      <w:r w:rsidR="00D93084">
        <w:t>at 5%</w:t>
      </w:r>
      <w:r w:rsidR="0042219B">
        <w:t xml:space="preserve">, indicating that </w:t>
      </w:r>
      <w:r w:rsidR="00BE3180">
        <w:t xml:space="preserve">no interaction effect is supported by the two-sided p-value for the test. </w:t>
      </w:r>
      <w:r w:rsidR="00103CD2">
        <w:t xml:space="preserve">This result suggests that the model without interaction term is </w:t>
      </w:r>
      <w:r w:rsidR="00FD62DE">
        <w:t xml:space="preserve">preferable </w:t>
      </w:r>
      <w:r w:rsidR="00103CD2">
        <w:t>than the model with interaction.</w:t>
      </w:r>
      <w:r w:rsidR="00D072DB">
        <w:t xml:space="preserve"> </w:t>
      </w:r>
    </w:p>
    <w:p w14:paraId="5C44FF40" w14:textId="27250FA8" w:rsidR="00233039" w:rsidRDefault="00233039" w:rsidP="00AA339D">
      <w:pPr>
        <w:ind w:firstLine="426"/>
        <w:jc w:val="both"/>
      </w:pPr>
    </w:p>
    <w:p w14:paraId="59434317" w14:textId="75C8CC41" w:rsidR="00726004" w:rsidRDefault="00726004" w:rsidP="00726004">
      <w:pPr>
        <w:jc w:val="center"/>
      </w:pPr>
      <w:r w:rsidRPr="00576A48">
        <w:rPr>
          <w:b/>
          <w:bCs/>
        </w:rPr>
        <w:t>Tabl</w:t>
      </w:r>
      <w:r w:rsidR="009A17C1">
        <w:rPr>
          <w:b/>
          <w:bCs/>
        </w:rPr>
        <w:t>e</w:t>
      </w:r>
      <w:r w:rsidRPr="00576A48">
        <w:rPr>
          <w:b/>
          <w:bCs/>
        </w:rPr>
        <w:t xml:space="preserve"> </w:t>
      </w:r>
      <w:r>
        <w:rPr>
          <w:b/>
          <w:bCs/>
        </w:rPr>
        <w:t>2</w:t>
      </w:r>
      <w:r>
        <w:t xml:space="preserve">. </w:t>
      </w:r>
      <w:r w:rsidR="009B13B0">
        <w:t>Multivariate linear regression</w:t>
      </w:r>
      <w:r w:rsidR="00596F3E">
        <w:t xml:space="preserve"> analys</w:t>
      </w:r>
      <w:r w:rsidR="00397694">
        <w:t>e</w:t>
      </w:r>
      <w:r w:rsidR="00596F3E">
        <w:t>s</w:t>
      </w:r>
      <w:r>
        <w:t xml:space="preserve"> </w:t>
      </w:r>
      <w:r w:rsidR="00775669">
        <w:t xml:space="preserve">for </w:t>
      </w:r>
      <w:r w:rsidR="002F609B">
        <w:t>the combined outcomes</w:t>
      </w:r>
      <w:r w:rsidR="00775669">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195"/>
        <w:gridCol w:w="1216"/>
        <w:gridCol w:w="1217"/>
        <w:gridCol w:w="1372"/>
        <w:gridCol w:w="1372"/>
        <w:gridCol w:w="1241"/>
      </w:tblGrid>
      <w:tr w:rsidR="002F609B" w:rsidRPr="006367FB" w14:paraId="05BB3888" w14:textId="77777777" w:rsidTr="006367FB">
        <w:tc>
          <w:tcPr>
            <w:tcW w:w="804" w:type="pct"/>
            <w:vMerge w:val="restart"/>
            <w:tcBorders>
              <w:top w:val="single" w:sz="4" w:space="0" w:color="auto"/>
              <w:bottom w:val="nil"/>
            </w:tcBorders>
          </w:tcPr>
          <w:p w14:paraId="401C372F" w14:textId="77777777" w:rsidR="00397694" w:rsidRPr="006367FB" w:rsidRDefault="00397694" w:rsidP="00726004">
            <w:pPr>
              <w:jc w:val="center"/>
              <w:rPr>
                <w:sz w:val="20"/>
              </w:rPr>
            </w:pPr>
            <w:r w:rsidRPr="006367FB">
              <w:rPr>
                <w:sz w:val="20"/>
              </w:rPr>
              <w:t>Explanatory</w:t>
            </w:r>
          </w:p>
          <w:p w14:paraId="42B6829D" w14:textId="34A8B84F" w:rsidR="00397694" w:rsidRPr="006367FB" w:rsidRDefault="00397694" w:rsidP="00726004">
            <w:pPr>
              <w:jc w:val="center"/>
              <w:rPr>
                <w:sz w:val="20"/>
              </w:rPr>
            </w:pPr>
            <w:r w:rsidRPr="006367FB">
              <w:rPr>
                <w:sz w:val="20"/>
              </w:rPr>
              <w:t>variables</w:t>
            </w:r>
          </w:p>
        </w:tc>
        <w:tc>
          <w:tcPr>
            <w:tcW w:w="2000" w:type="pct"/>
            <w:gridSpan w:val="3"/>
            <w:tcBorders>
              <w:top w:val="single" w:sz="4" w:space="0" w:color="auto"/>
              <w:bottom w:val="single" w:sz="4" w:space="0" w:color="auto"/>
            </w:tcBorders>
          </w:tcPr>
          <w:p w14:paraId="76F2D471" w14:textId="5A6160B6" w:rsidR="00397694" w:rsidRPr="006367FB" w:rsidRDefault="00397694" w:rsidP="002F609B">
            <w:pPr>
              <w:jc w:val="center"/>
              <w:rPr>
                <w:sz w:val="20"/>
              </w:rPr>
            </w:pPr>
            <w:r w:rsidRPr="006367FB">
              <w:rPr>
                <w:sz w:val="20"/>
              </w:rPr>
              <w:t>Without interaction</w:t>
            </w:r>
          </w:p>
        </w:tc>
        <w:tc>
          <w:tcPr>
            <w:tcW w:w="2196" w:type="pct"/>
            <w:gridSpan w:val="3"/>
            <w:tcBorders>
              <w:top w:val="single" w:sz="4" w:space="0" w:color="auto"/>
              <w:bottom w:val="single" w:sz="4" w:space="0" w:color="auto"/>
            </w:tcBorders>
          </w:tcPr>
          <w:p w14:paraId="4C95F503" w14:textId="3B361A06" w:rsidR="00397694" w:rsidRPr="006367FB" w:rsidRDefault="00397694" w:rsidP="002F609B">
            <w:pPr>
              <w:jc w:val="center"/>
              <w:rPr>
                <w:sz w:val="20"/>
              </w:rPr>
            </w:pPr>
            <w:r w:rsidRPr="006367FB">
              <w:rPr>
                <w:sz w:val="20"/>
              </w:rPr>
              <w:t>With interaction</w:t>
            </w:r>
          </w:p>
        </w:tc>
      </w:tr>
      <w:tr w:rsidR="002F609B" w:rsidRPr="006367FB" w14:paraId="4BE2763A" w14:textId="77777777" w:rsidTr="006367FB">
        <w:tc>
          <w:tcPr>
            <w:tcW w:w="804" w:type="pct"/>
            <w:vMerge/>
            <w:tcBorders>
              <w:top w:val="nil"/>
              <w:bottom w:val="single" w:sz="4" w:space="0" w:color="auto"/>
            </w:tcBorders>
          </w:tcPr>
          <w:p w14:paraId="7A746B9B" w14:textId="77777777" w:rsidR="00397694" w:rsidRPr="006367FB" w:rsidRDefault="00397694" w:rsidP="00397694">
            <w:pPr>
              <w:jc w:val="center"/>
              <w:rPr>
                <w:sz w:val="20"/>
              </w:rPr>
            </w:pPr>
          </w:p>
        </w:tc>
        <w:tc>
          <w:tcPr>
            <w:tcW w:w="659" w:type="pct"/>
            <w:tcBorders>
              <w:top w:val="single" w:sz="4" w:space="0" w:color="auto"/>
              <w:bottom w:val="single" w:sz="4" w:space="0" w:color="auto"/>
            </w:tcBorders>
          </w:tcPr>
          <w:p w14:paraId="4391DC41" w14:textId="1059098F" w:rsidR="00397694" w:rsidRPr="006367FB" w:rsidRDefault="00397694" w:rsidP="00397694">
            <w:pPr>
              <w:jc w:val="center"/>
              <w:rPr>
                <w:sz w:val="20"/>
              </w:rPr>
            </w:pPr>
            <w:r w:rsidRPr="006367FB">
              <w:rPr>
                <w:sz w:val="20"/>
              </w:rPr>
              <w:t>Math</w:t>
            </w:r>
          </w:p>
        </w:tc>
        <w:tc>
          <w:tcPr>
            <w:tcW w:w="670" w:type="pct"/>
            <w:tcBorders>
              <w:top w:val="single" w:sz="4" w:space="0" w:color="auto"/>
              <w:bottom w:val="single" w:sz="4" w:space="0" w:color="auto"/>
            </w:tcBorders>
          </w:tcPr>
          <w:p w14:paraId="4DBB7870" w14:textId="42D07184" w:rsidR="00397694" w:rsidRPr="006367FB" w:rsidRDefault="00397694" w:rsidP="00397694">
            <w:pPr>
              <w:jc w:val="center"/>
              <w:rPr>
                <w:sz w:val="20"/>
              </w:rPr>
            </w:pPr>
            <w:r w:rsidRPr="006367FB">
              <w:rPr>
                <w:sz w:val="20"/>
              </w:rPr>
              <w:t>Science</w:t>
            </w:r>
          </w:p>
        </w:tc>
        <w:tc>
          <w:tcPr>
            <w:tcW w:w="671" w:type="pct"/>
            <w:tcBorders>
              <w:top w:val="single" w:sz="4" w:space="0" w:color="auto"/>
              <w:bottom w:val="single" w:sz="4" w:space="0" w:color="auto"/>
            </w:tcBorders>
          </w:tcPr>
          <w:p w14:paraId="2C083DD3" w14:textId="519FA221" w:rsidR="00397694" w:rsidRPr="006367FB" w:rsidRDefault="00397694" w:rsidP="00397694">
            <w:pPr>
              <w:jc w:val="center"/>
              <w:rPr>
                <w:sz w:val="20"/>
              </w:rPr>
            </w:pPr>
            <w:r w:rsidRPr="006367FB">
              <w:rPr>
                <w:sz w:val="20"/>
              </w:rPr>
              <w:t>Reading</w:t>
            </w:r>
          </w:p>
        </w:tc>
        <w:tc>
          <w:tcPr>
            <w:tcW w:w="756" w:type="pct"/>
            <w:tcBorders>
              <w:top w:val="single" w:sz="4" w:space="0" w:color="auto"/>
              <w:bottom w:val="single" w:sz="4" w:space="0" w:color="auto"/>
            </w:tcBorders>
          </w:tcPr>
          <w:p w14:paraId="53389906" w14:textId="741BA945" w:rsidR="00397694" w:rsidRPr="006367FB" w:rsidRDefault="00397694" w:rsidP="00397694">
            <w:pPr>
              <w:jc w:val="center"/>
              <w:rPr>
                <w:sz w:val="20"/>
              </w:rPr>
            </w:pPr>
            <w:r w:rsidRPr="006367FB">
              <w:rPr>
                <w:sz w:val="20"/>
              </w:rPr>
              <w:t>Math</w:t>
            </w:r>
          </w:p>
        </w:tc>
        <w:tc>
          <w:tcPr>
            <w:tcW w:w="756" w:type="pct"/>
            <w:tcBorders>
              <w:top w:val="single" w:sz="4" w:space="0" w:color="auto"/>
              <w:bottom w:val="single" w:sz="4" w:space="0" w:color="auto"/>
            </w:tcBorders>
          </w:tcPr>
          <w:p w14:paraId="3D535F0F" w14:textId="6439C1BD" w:rsidR="00397694" w:rsidRPr="006367FB" w:rsidRDefault="00397694" w:rsidP="00397694">
            <w:pPr>
              <w:jc w:val="center"/>
              <w:rPr>
                <w:sz w:val="20"/>
              </w:rPr>
            </w:pPr>
            <w:r w:rsidRPr="006367FB">
              <w:rPr>
                <w:sz w:val="20"/>
              </w:rPr>
              <w:t>Science</w:t>
            </w:r>
          </w:p>
        </w:tc>
        <w:tc>
          <w:tcPr>
            <w:tcW w:w="684" w:type="pct"/>
            <w:tcBorders>
              <w:top w:val="single" w:sz="4" w:space="0" w:color="auto"/>
              <w:bottom w:val="single" w:sz="4" w:space="0" w:color="auto"/>
            </w:tcBorders>
          </w:tcPr>
          <w:p w14:paraId="4272A129" w14:textId="16CA4B4D" w:rsidR="00397694" w:rsidRPr="006367FB" w:rsidRDefault="00397694" w:rsidP="00397694">
            <w:pPr>
              <w:jc w:val="center"/>
              <w:rPr>
                <w:sz w:val="20"/>
              </w:rPr>
            </w:pPr>
            <w:r w:rsidRPr="006367FB">
              <w:rPr>
                <w:sz w:val="20"/>
              </w:rPr>
              <w:t>Reading</w:t>
            </w:r>
          </w:p>
        </w:tc>
      </w:tr>
      <w:tr w:rsidR="006367FB" w:rsidRPr="006367FB" w14:paraId="069C6334" w14:textId="77777777" w:rsidTr="006367FB">
        <w:tc>
          <w:tcPr>
            <w:tcW w:w="804" w:type="pct"/>
            <w:tcBorders>
              <w:top w:val="single" w:sz="4" w:space="0" w:color="auto"/>
            </w:tcBorders>
          </w:tcPr>
          <w:p w14:paraId="49DE5C19" w14:textId="50ABA6E0" w:rsidR="006367FB" w:rsidRPr="006367FB" w:rsidRDefault="006367FB" w:rsidP="006367FB">
            <w:pPr>
              <w:rPr>
                <w:sz w:val="20"/>
              </w:rPr>
            </w:pPr>
            <w:r w:rsidRPr="006367FB">
              <w:rPr>
                <w:sz w:val="20"/>
              </w:rPr>
              <w:t>Intercept</w:t>
            </w:r>
          </w:p>
        </w:tc>
        <w:tc>
          <w:tcPr>
            <w:tcW w:w="659" w:type="pct"/>
            <w:tcBorders>
              <w:top w:val="single" w:sz="4" w:space="0" w:color="auto"/>
            </w:tcBorders>
          </w:tcPr>
          <w:p w14:paraId="0FEDA2AB" w14:textId="77777777" w:rsidR="006367FB" w:rsidRPr="006367FB" w:rsidRDefault="006367FB" w:rsidP="006367FB">
            <w:pPr>
              <w:jc w:val="center"/>
              <w:rPr>
                <w:sz w:val="20"/>
              </w:rPr>
            </w:pPr>
            <w:r w:rsidRPr="006367FB">
              <w:rPr>
                <w:sz w:val="20"/>
              </w:rPr>
              <w:t xml:space="preserve">482.703 </w:t>
            </w:r>
          </w:p>
          <w:p w14:paraId="32B73583" w14:textId="247AA3E1" w:rsidR="006367FB" w:rsidRPr="006367FB" w:rsidRDefault="006367FB" w:rsidP="006367FB">
            <w:pPr>
              <w:jc w:val="center"/>
              <w:rPr>
                <w:sz w:val="20"/>
              </w:rPr>
            </w:pPr>
            <w:r w:rsidRPr="006367FB">
              <w:rPr>
                <w:sz w:val="20"/>
              </w:rPr>
              <w:t>(3.273)***</w:t>
            </w:r>
          </w:p>
        </w:tc>
        <w:tc>
          <w:tcPr>
            <w:tcW w:w="670" w:type="pct"/>
            <w:tcBorders>
              <w:top w:val="single" w:sz="4" w:space="0" w:color="auto"/>
            </w:tcBorders>
          </w:tcPr>
          <w:p w14:paraId="77DB0066" w14:textId="77777777" w:rsidR="006367FB" w:rsidRPr="006367FB" w:rsidRDefault="006367FB" w:rsidP="006367FB">
            <w:pPr>
              <w:jc w:val="center"/>
              <w:rPr>
                <w:sz w:val="20"/>
              </w:rPr>
            </w:pPr>
            <w:r w:rsidRPr="006367FB">
              <w:rPr>
                <w:sz w:val="20"/>
              </w:rPr>
              <w:t xml:space="preserve">485.229 </w:t>
            </w:r>
          </w:p>
          <w:p w14:paraId="398CBDA1" w14:textId="2A8628E1" w:rsidR="006367FB" w:rsidRPr="006367FB" w:rsidRDefault="006367FB" w:rsidP="006367FB">
            <w:pPr>
              <w:jc w:val="center"/>
              <w:rPr>
                <w:sz w:val="20"/>
              </w:rPr>
            </w:pPr>
            <w:r w:rsidRPr="006367FB">
              <w:rPr>
                <w:sz w:val="20"/>
              </w:rPr>
              <w:t>(2.821)***</w:t>
            </w:r>
          </w:p>
        </w:tc>
        <w:tc>
          <w:tcPr>
            <w:tcW w:w="671" w:type="pct"/>
            <w:tcBorders>
              <w:top w:val="single" w:sz="4" w:space="0" w:color="auto"/>
            </w:tcBorders>
          </w:tcPr>
          <w:p w14:paraId="46BF669D" w14:textId="77777777" w:rsidR="006367FB" w:rsidRPr="006367FB" w:rsidRDefault="006367FB" w:rsidP="006367FB">
            <w:pPr>
              <w:jc w:val="center"/>
              <w:rPr>
                <w:sz w:val="20"/>
              </w:rPr>
            </w:pPr>
            <w:r w:rsidRPr="006367FB">
              <w:rPr>
                <w:sz w:val="20"/>
              </w:rPr>
              <w:t xml:space="preserve">472.189 </w:t>
            </w:r>
          </w:p>
          <w:p w14:paraId="67539790" w14:textId="577BE2FA" w:rsidR="006367FB" w:rsidRPr="006367FB" w:rsidRDefault="006367FB" w:rsidP="006367FB">
            <w:pPr>
              <w:jc w:val="center"/>
              <w:rPr>
                <w:sz w:val="20"/>
              </w:rPr>
            </w:pPr>
            <w:r w:rsidRPr="006367FB">
              <w:rPr>
                <w:sz w:val="20"/>
              </w:rPr>
              <w:t>(3.177)***</w:t>
            </w:r>
          </w:p>
        </w:tc>
        <w:tc>
          <w:tcPr>
            <w:tcW w:w="756" w:type="pct"/>
            <w:tcBorders>
              <w:top w:val="single" w:sz="4" w:space="0" w:color="auto"/>
            </w:tcBorders>
          </w:tcPr>
          <w:p w14:paraId="5A066FEC" w14:textId="77777777" w:rsidR="006367FB" w:rsidRPr="006367FB" w:rsidRDefault="006367FB" w:rsidP="006367FB">
            <w:pPr>
              <w:jc w:val="center"/>
              <w:rPr>
                <w:sz w:val="20"/>
              </w:rPr>
            </w:pPr>
            <w:r w:rsidRPr="006367FB">
              <w:rPr>
                <w:sz w:val="20"/>
              </w:rPr>
              <w:t xml:space="preserve">481.617 </w:t>
            </w:r>
          </w:p>
          <w:p w14:paraId="0CEA537F" w14:textId="49BFB16D" w:rsidR="006367FB" w:rsidRPr="006367FB" w:rsidRDefault="006367FB" w:rsidP="006367FB">
            <w:pPr>
              <w:jc w:val="center"/>
              <w:rPr>
                <w:sz w:val="20"/>
              </w:rPr>
            </w:pPr>
            <w:r w:rsidRPr="006367FB">
              <w:rPr>
                <w:sz w:val="20"/>
              </w:rPr>
              <w:t>(3.960)***</w:t>
            </w:r>
          </w:p>
        </w:tc>
        <w:tc>
          <w:tcPr>
            <w:tcW w:w="756" w:type="pct"/>
            <w:tcBorders>
              <w:top w:val="single" w:sz="4" w:space="0" w:color="auto"/>
            </w:tcBorders>
          </w:tcPr>
          <w:p w14:paraId="50FA5FD1" w14:textId="58350CE8" w:rsidR="006367FB" w:rsidRPr="006367FB" w:rsidRDefault="006367FB" w:rsidP="006367FB">
            <w:pPr>
              <w:jc w:val="center"/>
              <w:rPr>
                <w:sz w:val="20"/>
              </w:rPr>
            </w:pPr>
            <w:r>
              <w:rPr>
                <w:sz w:val="20"/>
              </w:rPr>
              <w:t>485.127</w:t>
            </w:r>
          </w:p>
          <w:p w14:paraId="1491DCFF" w14:textId="70A9D703" w:rsidR="006367FB" w:rsidRPr="006367FB" w:rsidRDefault="006367FB" w:rsidP="006367FB">
            <w:pPr>
              <w:jc w:val="center"/>
              <w:rPr>
                <w:sz w:val="20"/>
              </w:rPr>
            </w:pPr>
            <w:r w:rsidRPr="006367FB">
              <w:rPr>
                <w:sz w:val="20"/>
              </w:rPr>
              <w:t>(3.4</w:t>
            </w:r>
            <w:r>
              <w:rPr>
                <w:sz w:val="20"/>
              </w:rPr>
              <w:t>1</w:t>
            </w:r>
            <w:r w:rsidRPr="006367FB">
              <w:rPr>
                <w:sz w:val="20"/>
              </w:rPr>
              <w:t>3)***</w:t>
            </w:r>
          </w:p>
        </w:tc>
        <w:tc>
          <w:tcPr>
            <w:tcW w:w="684" w:type="pct"/>
            <w:tcBorders>
              <w:top w:val="single" w:sz="4" w:space="0" w:color="auto"/>
            </w:tcBorders>
          </w:tcPr>
          <w:p w14:paraId="431BEA81" w14:textId="77777777" w:rsidR="006367FB" w:rsidRPr="006367FB" w:rsidRDefault="006367FB" w:rsidP="006367FB">
            <w:pPr>
              <w:jc w:val="center"/>
              <w:rPr>
                <w:sz w:val="20"/>
              </w:rPr>
            </w:pPr>
            <w:r w:rsidRPr="006367FB">
              <w:rPr>
                <w:sz w:val="20"/>
              </w:rPr>
              <w:t xml:space="preserve">471.233 </w:t>
            </w:r>
          </w:p>
          <w:p w14:paraId="3AD7DC68" w14:textId="210029D0" w:rsidR="006367FB" w:rsidRPr="006367FB" w:rsidRDefault="006367FB" w:rsidP="006367FB">
            <w:pPr>
              <w:jc w:val="center"/>
              <w:rPr>
                <w:sz w:val="20"/>
              </w:rPr>
            </w:pPr>
            <w:r w:rsidRPr="006367FB">
              <w:rPr>
                <w:sz w:val="20"/>
              </w:rPr>
              <w:t>(3.843)***</w:t>
            </w:r>
          </w:p>
        </w:tc>
      </w:tr>
      <w:tr w:rsidR="006367FB" w:rsidRPr="006367FB" w14:paraId="16791277" w14:textId="77777777" w:rsidTr="006367FB">
        <w:tc>
          <w:tcPr>
            <w:tcW w:w="804" w:type="pct"/>
          </w:tcPr>
          <w:p w14:paraId="13816CD2" w14:textId="77777777" w:rsidR="006367FB" w:rsidRPr="006367FB" w:rsidRDefault="006367FB" w:rsidP="006367FB">
            <w:pPr>
              <w:rPr>
                <w:sz w:val="20"/>
              </w:rPr>
            </w:pPr>
            <w:r w:rsidRPr="006367FB">
              <w:rPr>
                <w:sz w:val="20"/>
              </w:rPr>
              <w:t>Gender</w:t>
            </w:r>
          </w:p>
          <w:p w14:paraId="673870C1" w14:textId="1BEC6D5A" w:rsidR="006367FB" w:rsidRPr="006367FB" w:rsidRDefault="006367FB" w:rsidP="006367FB">
            <w:pPr>
              <w:rPr>
                <w:sz w:val="20"/>
              </w:rPr>
            </w:pPr>
            <w:r w:rsidRPr="006367FB">
              <w:rPr>
                <w:sz w:val="20"/>
              </w:rPr>
              <w:t xml:space="preserve">   Female (ref)</w:t>
            </w:r>
          </w:p>
          <w:p w14:paraId="3896725F" w14:textId="7B4A8C5A" w:rsidR="006367FB" w:rsidRPr="006367FB" w:rsidRDefault="006367FB" w:rsidP="006367FB">
            <w:pPr>
              <w:rPr>
                <w:sz w:val="20"/>
              </w:rPr>
            </w:pPr>
            <w:r w:rsidRPr="006367FB">
              <w:rPr>
                <w:sz w:val="20"/>
              </w:rPr>
              <w:t xml:space="preserve">   Male</w:t>
            </w:r>
          </w:p>
        </w:tc>
        <w:tc>
          <w:tcPr>
            <w:tcW w:w="659" w:type="pct"/>
          </w:tcPr>
          <w:p w14:paraId="4A6A446B" w14:textId="77777777" w:rsidR="006367FB" w:rsidRPr="006367FB" w:rsidRDefault="006367FB" w:rsidP="006367FB">
            <w:pPr>
              <w:jc w:val="center"/>
              <w:rPr>
                <w:sz w:val="20"/>
              </w:rPr>
            </w:pPr>
          </w:p>
          <w:p w14:paraId="69CF8F97" w14:textId="77777777" w:rsidR="006367FB" w:rsidRPr="006367FB" w:rsidRDefault="006367FB" w:rsidP="006367FB">
            <w:pPr>
              <w:jc w:val="center"/>
              <w:rPr>
                <w:sz w:val="20"/>
              </w:rPr>
            </w:pPr>
          </w:p>
          <w:p w14:paraId="2770E47A" w14:textId="77777777" w:rsidR="006367FB" w:rsidRPr="006367FB" w:rsidRDefault="006367FB" w:rsidP="006367FB">
            <w:pPr>
              <w:jc w:val="center"/>
              <w:rPr>
                <w:sz w:val="20"/>
              </w:rPr>
            </w:pPr>
            <w:r w:rsidRPr="006367FB">
              <w:rPr>
                <w:sz w:val="20"/>
              </w:rPr>
              <w:t xml:space="preserve">-27.058 </w:t>
            </w:r>
          </w:p>
          <w:p w14:paraId="04BE8E0E" w14:textId="0A48D71B" w:rsidR="006367FB" w:rsidRPr="006367FB" w:rsidRDefault="006367FB" w:rsidP="006367FB">
            <w:pPr>
              <w:jc w:val="center"/>
              <w:rPr>
                <w:sz w:val="20"/>
              </w:rPr>
            </w:pPr>
            <w:r w:rsidRPr="006367FB">
              <w:rPr>
                <w:sz w:val="20"/>
              </w:rPr>
              <w:t>(3.474)***</w:t>
            </w:r>
          </w:p>
        </w:tc>
        <w:tc>
          <w:tcPr>
            <w:tcW w:w="670" w:type="pct"/>
          </w:tcPr>
          <w:p w14:paraId="43D2E88B" w14:textId="77777777" w:rsidR="006367FB" w:rsidRPr="006367FB" w:rsidRDefault="006367FB" w:rsidP="006367FB">
            <w:pPr>
              <w:jc w:val="center"/>
              <w:rPr>
                <w:sz w:val="20"/>
              </w:rPr>
            </w:pPr>
          </w:p>
          <w:p w14:paraId="0D2FE900" w14:textId="77777777" w:rsidR="006367FB" w:rsidRPr="006367FB" w:rsidRDefault="006367FB" w:rsidP="006367FB">
            <w:pPr>
              <w:jc w:val="center"/>
              <w:rPr>
                <w:sz w:val="20"/>
              </w:rPr>
            </w:pPr>
          </w:p>
          <w:p w14:paraId="6FBEEAF6" w14:textId="77777777" w:rsidR="006367FB" w:rsidRPr="006367FB" w:rsidRDefault="006367FB" w:rsidP="006367FB">
            <w:pPr>
              <w:jc w:val="center"/>
              <w:rPr>
                <w:sz w:val="20"/>
              </w:rPr>
            </w:pPr>
            <w:r w:rsidRPr="006367FB">
              <w:rPr>
                <w:sz w:val="20"/>
              </w:rPr>
              <w:t xml:space="preserve">-25.866 </w:t>
            </w:r>
          </w:p>
          <w:p w14:paraId="1D5C6E67" w14:textId="27AB3FE5" w:rsidR="006367FB" w:rsidRPr="006367FB" w:rsidRDefault="006367FB" w:rsidP="006367FB">
            <w:pPr>
              <w:jc w:val="center"/>
              <w:rPr>
                <w:sz w:val="20"/>
              </w:rPr>
            </w:pPr>
            <w:r w:rsidRPr="006367FB">
              <w:rPr>
                <w:sz w:val="20"/>
              </w:rPr>
              <w:t>(2.995)***</w:t>
            </w:r>
          </w:p>
        </w:tc>
        <w:tc>
          <w:tcPr>
            <w:tcW w:w="671" w:type="pct"/>
          </w:tcPr>
          <w:p w14:paraId="368D63C6" w14:textId="77777777" w:rsidR="006367FB" w:rsidRPr="006367FB" w:rsidRDefault="006367FB" w:rsidP="006367FB">
            <w:pPr>
              <w:jc w:val="center"/>
              <w:rPr>
                <w:sz w:val="20"/>
              </w:rPr>
            </w:pPr>
          </w:p>
          <w:p w14:paraId="6939647D" w14:textId="77777777" w:rsidR="006367FB" w:rsidRPr="006367FB" w:rsidRDefault="006367FB" w:rsidP="006367FB">
            <w:pPr>
              <w:jc w:val="center"/>
              <w:rPr>
                <w:sz w:val="20"/>
              </w:rPr>
            </w:pPr>
          </w:p>
          <w:p w14:paraId="521ABA78" w14:textId="77777777" w:rsidR="006367FB" w:rsidRPr="006367FB" w:rsidRDefault="006367FB" w:rsidP="006367FB">
            <w:pPr>
              <w:jc w:val="center"/>
              <w:rPr>
                <w:sz w:val="20"/>
              </w:rPr>
            </w:pPr>
            <w:r w:rsidRPr="006367FB">
              <w:rPr>
                <w:sz w:val="20"/>
              </w:rPr>
              <w:t>-45.295</w:t>
            </w:r>
          </w:p>
          <w:p w14:paraId="7E042B8C" w14:textId="37D06E0D" w:rsidR="006367FB" w:rsidRPr="006367FB" w:rsidRDefault="006367FB" w:rsidP="006367FB">
            <w:pPr>
              <w:jc w:val="center"/>
              <w:rPr>
                <w:sz w:val="20"/>
              </w:rPr>
            </w:pPr>
            <w:r w:rsidRPr="006367FB">
              <w:rPr>
                <w:sz w:val="20"/>
              </w:rPr>
              <w:t xml:space="preserve"> (3.372)***</w:t>
            </w:r>
          </w:p>
        </w:tc>
        <w:tc>
          <w:tcPr>
            <w:tcW w:w="756" w:type="pct"/>
          </w:tcPr>
          <w:p w14:paraId="78A58158" w14:textId="77777777" w:rsidR="006367FB" w:rsidRPr="006367FB" w:rsidRDefault="006367FB" w:rsidP="006367FB">
            <w:pPr>
              <w:jc w:val="center"/>
              <w:rPr>
                <w:sz w:val="20"/>
              </w:rPr>
            </w:pPr>
          </w:p>
          <w:p w14:paraId="7CFDA426" w14:textId="77777777" w:rsidR="006367FB" w:rsidRPr="006367FB" w:rsidRDefault="006367FB" w:rsidP="006367FB">
            <w:pPr>
              <w:jc w:val="center"/>
              <w:rPr>
                <w:sz w:val="20"/>
              </w:rPr>
            </w:pPr>
          </w:p>
          <w:p w14:paraId="666BDD12" w14:textId="77777777" w:rsidR="006367FB" w:rsidRPr="006367FB" w:rsidRDefault="006367FB" w:rsidP="006367FB">
            <w:pPr>
              <w:jc w:val="center"/>
              <w:rPr>
                <w:sz w:val="20"/>
              </w:rPr>
            </w:pPr>
            <w:r w:rsidRPr="006367FB">
              <w:rPr>
                <w:sz w:val="20"/>
              </w:rPr>
              <w:t xml:space="preserve">-25.011 </w:t>
            </w:r>
          </w:p>
          <w:p w14:paraId="01079AAA" w14:textId="44009BF5" w:rsidR="006367FB" w:rsidRPr="006367FB" w:rsidRDefault="006367FB" w:rsidP="006367FB">
            <w:pPr>
              <w:jc w:val="center"/>
              <w:rPr>
                <w:sz w:val="20"/>
              </w:rPr>
            </w:pPr>
            <w:r w:rsidRPr="006367FB">
              <w:rPr>
                <w:sz w:val="20"/>
              </w:rPr>
              <w:t>(5.451)***</w:t>
            </w:r>
          </w:p>
        </w:tc>
        <w:tc>
          <w:tcPr>
            <w:tcW w:w="756" w:type="pct"/>
          </w:tcPr>
          <w:p w14:paraId="58BC4AF0" w14:textId="77777777" w:rsidR="006367FB" w:rsidRPr="006367FB" w:rsidRDefault="006367FB" w:rsidP="006367FB">
            <w:pPr>
              <w:jc w:val="center"/>
              <w:rPr>
                <w:sz w:val="20"/>
              </w:rPr>
            </w:pPr>
          </w:p>
          <w:p w14:paraId="23CB713A" w14:textId="77777777" w:rsidR="006367FB" w:rsidRPr="006367FB" w:rsidRDefault="006367FB" w:rsidP="006367FB">
            <w:pPr>
              <w:jc w:val="center"/>
              <w:rPr>
                <w:sz w:val="20"/>
              </w:rPr>
            </w:pPr>
          </w:p>
          <w:p w14:paraId="6BC9AAB3" w14:textId="559F6A1C" w:rsidR="006367FB" w:rsidRPr="006367FB" w:rsidRDefault="006367FB" w:rsidP="006367FB">
            <w:pPr>
              <w:jc w:val="center"/>
              <w:rPr>
                <w:sz w:val="20"/>
              </w:rPr>
            </w:pPr>
            <w:r w:rsidRPr="006367FB">
              <w:rPr>
                <w:sz w:val="20"/>
              </w:rPr>
              <w:t>-</w:t>
            </w:r>
            <w:r>
              <w:rPr>
                <w:sz w:val="20"/>
              </w:rPr>
              <w:t>25.674</w:t>
            </w:r>
            <w:r w:rsidRPr="006367FB">
              <w:rPr>
                <w:sz w:val="20"/>
              </w:rPr>
              <w:t xml:space="preserve"> </w:t>
            </w:r>
          </w:p>
          <w:p w14:paraId="1BC52887" w14:textId="63C8CC6D" w:rsidR="006367FB" w:rsidRPr="006367FB" w:rsidRDefault="006367FB" w:rsidP="006367FB">
            <w:pPr>
              <w:jc w:val="center"/>
              <w:rPr>
                <w:sz w:val="20"/>
              </w:rPr>
            </w:pPr>
            <w:r w:rsidRPr="006367FB">
              <w:rPr>
                <w:sz w:val="20"/>
              </w:rPr>
              <w:t>(</w:t>
            </w:r>
            <w:r>
              <w:rPr>
                <w:sz w:val="20"/>
              </w:rPr>
              <w:t>4.699</w:t>
            </w:r>
            <w:r w:rsidRPr="006367FB">
              <w:rPr>
                <w:sz w:val="20"/>
              </w:rPr>
              <w:t>)***</w:t>
            </w:r>
          </w:p>
        </w:tc>
        <w:tc>
          <w:tcPr>
            <w:tcW w:w="684" w:type="pct"/>
          </w:tcPr>
          <w:p w14:paraId="1E50C6F6" w14:textId="77777777" w:rsidR="006367FB" w:rsidRPr="006367FB" w:rsidRDefault="006367FB" w:rsidP="006367FB">
            <w:pPr>
              <w:jc w:val="center"/>
              <w:rPr>
                <w:sz w:val="20"/>
              </w:rPr>
            </w:pPr>
          </w:p>
          <w:p w14:paraId="1BEDA043" w14:textId="77777777" w:rsidR="006367FB" w:rsidRPr="006367FB" w:rsidRDefault="006367FB" w:rsidP="006367FB">
            <w:pPr>
              <w:jc w:val="center"/>
              <w:rPr>
                <w:sz w:val="20"/>
              </w:rPr>
            </w:pPr>
          </w:p>
          <w:p w14:paraId="0629FC77" w14:textId="77777777" w:rsidR="006367FB" w:rsidRPr="006367FB" w:rsidRDefault="006367FB" w:rsidP="006367FB">
            <w:pPr>
              <w:jc w:val="center"/>
              <w:rPr>
                <w:sz w:val="20"/>
              </w:rPr>
            </w:pPr>
            <w:r w:rsidRPr="006367FB">
              <w:rPr>
                <w:sz w:val="20"/>
              </w:rPr>
              <w:t xml:space="preserve">-43.494 </w:t>
            </w:r>
          </w:p>
          <w:p w14:paraId="75B0826E" w14:textId="13C717B5" w:rsidR="006367FB" w:rsidRPr="006367FB" w:rsidRDefault="006367FB" w:rsidP="006367FB">
            <w:pPr>
              <w:jc w:val="center"/>
              <w:rPr>
                <w:sz w:val="20"/>
              </w:rPr>
            </w:pPr>
            <w:r w:rsidRPr="006367FB">
              <w:rPr>
                <w:sz w:val="20"/>
              </w:rPr>
              <w:t>(5.291)***</w:t>
            </w:r>
          </w:p>
        </w:tc>
      </w:tr>
      <w:tr w:rsidR="006367FB" w:rsidRPr="006367FB" w14:paraId="2E68F2C3" w14:textId="77777777" w:rsidTr="006367FB">
        <w:tc>
          <w:tcPr>
            <w:tcW w:w="804" w:type="pct"/>
          </w:tcPr>
          <w:p w14:paraId="3DC60DE9" w14:textId="75F75CA4" w:rsidR="006367FB" w:rsidRPr="006367FB" w:rsidRDefault="006367FB" w:rsidP="006367FB">
            <w:pPr>
              <w:rPr>
                <w:sz w:val="20"/>
              </w:rPr>
            </w:pPr>
            <w:r w:rsidRPr="006367FB">
              <w:rPr>
                <w:sz w:val="20"/>
              </w:rPr>
              <w:t>ESC</w:t>
            </w:r>
          </w:p>
        </w:tc>
        <w:tc>
          <w:tcPr>
            <w:tcW w:w="659" w:type="pct"/>
          </w:tcPr>
          <w:p w14:paraId="7D771651" w14:textId="77777777" w:rsidR="006367FB" w:rsidRPr="006367FB" w:rsidRDefault="006367FB" w:rsidP="006367FB">
            <w:pPr>
              <w:jc w:val="center"/>
              <w:rPr>
                <w:sz w:val="20"/>
              </w:rPr>
            </w:pPr>
            <w:r w:rsidRPr="006367FB">
              <w:rPr>
                <w:sz w:val="20"/>
              </w:rPr>
              <w:t xml:space="preserve">29.395 </w:t>
            </w:r>
          </w:p>
          <w:p w14:paraId="7E9964FB" w14:textId="30F9E29B" w:rsidR="006367FB" w:rsidRPr="006367FB" w:rsidRDefault="006367FB" w:rsidP="006367FB">
            <w:pPr>
              <w:jc w:val="center"/>
              <w:rPr>
                <w:sz w:val="20"/>
              </w:rPr>
            </w:pPr>
            <w:r w:rsidRPr="006367FB">
              <w:rPr>
                <w:sz w:val="20"/>
              </w:rPr>
              <w:t>(1.603)***</w:t>
            </w:r>
          </w:p>
        </w:tc>
        <w:tc>
          <w:tcPr>
            <w:tcW w:w="670" w:type="pct"/>
          </w:tcPr>
          <w:p w14:paraId="1FECB8D7" w14:textId="77777777" w:rsidR="006367FB" w:rsidRPr="006367FB" w:rsidRDefault="006367FB" w:rsidP="006367FB">
            <w:pPr>
              <w:jc w:val="center"/>
              <w:rPr>
                <w:sz w:val="20"/>
              </w:rPr>
            </w:pPr>
            <w:r w:rsidRPr="006367FB">
              <w:rPr>
                <w:sz w:val="20"/>
              </w:rPr>
              <w:t>24.951</w:t>
            </w:r>
          </w:p>
          <w:p w14:paraId="5DC3F43B" w14:textId="1F6279F0" w:rsidR="006367FB" w:rsidRPr="006367FB" w:rsidRDefault="006367FB" w:rsidP="006367FB">
            <w:pPr>
              <w:jc w:val="center"/>
              <w:rPr>
                <w:sz w:val="20"/>
              </w:rPr>
            </w:pPr>
            <w:r w:rsidRPr="006367FB">
              <w:rPr>
                <w:sz w:val="20"/>
              </w:rPr>
              <w:t xml:space="preserve"> (1.382)***</w:t>
            </w:r>
          </w:p>
        </w:tc>
        <w:tc>
          <w:tcPr>
            <w:tcW w:w="671" w:type="pct"/>
          </w:tcPr>
          <w:p w14:paraId="0236F3C0" w14:textId="77777777" w:rsidR="006367FB" w:rsidRPr="006367FB" w:rsidRDefault="006367FB" w:rsidP="006367FB">
            <w:pPr>
              <w:jc w:val="center"/>
              <w:rPr>
                <w:sz w:val="20"/>
              </w:rPr>
            </w:pPr>
            <w:r w:rsidRPr="006367FB">
              <w:rPr>
                <w:sz w:val="20"/>
              </w:rPr>
              <w:t xml:space="preserve">27.337 </w:t>
            </w:r>
          </w:p>
          <w:p w14:paraId="417D6FCC" w14:textId="66706DF3" w:rsidR="006367FB" w:rsidRPr="006367FB" w:rsidRDefault="006367FB" w:rsidP="006367FB">
            <w:pPr>
              <w:jc w:val="center"/>
              <w:rPr>
                <w:sz w:val="20"/>
              </w:rPr>
            </w:pPr>
            <w:r w:rsidRPr="006367FB">
              <w:rPr>
                <w:sz w:val="20"/>
              </w:rPr>
              <w:t>(1.556)***</w:t>
            </w:r>
          </w:p>
        </w:tc>
        <w:tc>
          <w:tcPr>
            <w:tcW w:w="756" w:type="pct"/>
          </w:tcPr>
          <w:p w14:paraId="2EC47784" w14:textId="77777777" w:rsidR="006367FB" w:rsidRPr="006367FB" w:rsidRDefault="006367FB" w:rsidP="006367FB">
            <w:pPr>
              <w:jc w:val="center"/>
              <w:rPr>
                <w:sz w:val="20"/>
              </w:rPr>
            </w:pPr>
            <w:r w:rsidRPr="006367FB">
              <w:rPr>
                <w:sz w:val="20"/>
              </w:rPr>
              <w:t xml:space="preserve">28.590 </w:t>
            </w:r>
          </w:p>
          <w:p w14:paraId="0436C253" w14:textId="530CD7ED" w:rsidR="006367FB" w:rsidRPr="006367FB" w:rsidRDefault="006367FB" w:rsidP="006367FB">
            <w:pPr>
              <w:jc w:val="center"/>
              <w:rPr>
                <w:sz w:val="20"/>
              </w:rPr>
            </w:pPr>
            <w:r w:rsidRPr="006367FB">
              <w:rPr>
                <w:sz w:val="20"/>
              </w:rPr>
              <w:t>(2.301)***</w:t>
            </w:r>
          </w:p>
        </w:tc>
        <w:tc>
          <w:tcPr>
            <w:tcW w:w="756" w:type="pct"/>
          </w:tcPr>
          <w:p w14:paraId="6492055E" w14:textId="240B27BA" w:rsidR="006367FB" w:rsidRPr="006367FB" w:rsidRDefault="006367FB" w:rsidP="006367FB">
            <w:pPr>
              <w:jc w:val="center"/>
              <w:rPr>
                <w:sz w:val="20"/>
              </w:rPr>
            </w:pPr>
            <w:r w:rsidRPr="006367FB">
              <w:rPr>
                <w:sz w:val="20"/>
              </w:rPr>
              <w:t>2</w:t>
            </w:r>
            <w:r>
              <w:rPr>
                <w:sz w:val="20"/>
              </w:rPr>
              <w:t>4.875</w:t>
            </w:r>
          </w:p>
          <w:p w14:paraId="43C99C21" w14:textId="146707C8" w:rsidR="006367FB" w:rsidRPr="006367FB" w:rsidRDefault="006367FB" w:rsidP="006367FB">
            <w:pPr>
              <w:jc w:val="center"/>
              <w:rPr>
                <w:sz w:val="20"/>
              </w:rPr>
            </w:pPr>
            <w:r w:rsidRPr="006367FB">
              <w:rPr>
                <w:sz w:val="20"/>
              </w:rPr>
              <w:t>(1</w:t>
            </w:r>
            <w:r>
              <w:rPr>
                <w:sz w:val="20"/>
              </w:rPr>
              <w:t>2</w:t>
            </w:r>
            <w:r w:rsidRPr="006367FB">
              <w:rPr>
                <w:sz w:val="20"/>
              </w:rPr>
              <w:t>.</w:t>
            </w:r>
            <w:r>
              <w:rPr>
                <w:sz w:val="20"/>
              </w:rPr>
              <w:t>539</w:t>
            </w:r>
            <w:r w:rsidRPr="006367FB">
              <w:rPr>
                <w:sz w:val="20"/>
              </w:rPr>
              <w:t>)***</w:t>
            </w:r>
          </w:p>
        </w:tc>
        <w:tc>
          <w:tcPr>
            <w:tcW w:w="684" w:type="pct"/>
          </w:tcPr>
          <w:p w14:paraId="57E53040" w14:textId="77777777" w:rsidR="006367FB" w:rsidRPr="006367FB" w:rsidRDefault="006367FB" w:rsidP="006367FB">
            <w:pPr>
              <w:jc w:val="center"/>
              <w:rPr>
                <w:sz w:val="20"/>
              </w:rPr>
            </w:pPr>
            <w:r w:rsidRPr="006367FB">
              <w:rPr>
                <w:sz w:val="20"/>
              </w:rPr>
              <w:t>26.629</w:t>
            </w:r>
          </w:p>
          <w:p w14:paraId="28777DC0" w14:textId="0E78FB9E" w:rsidR="006367FB" w:rsidRPr="006367FB" w:rsidRDefault="006367FB" w:rsidP="006367FB">
            <w:pPr>
              <w:jc w:val="center"/>
              <w:rPr>
                <w:sz w:val="20"/>
              </w:rPr>
            </w:pPr>
            <w:r w:rsidRPr="006367FB">
              <w:rPr>
                <w:sz w:val="20"/>
              </w:rPr>
              <w:t>(11.921)***</w:t>
            </w:r>
          </w:p>
        </w:tc>
      </w:tr>
      <w:tr w:rsidR="006367FB" w:rsidRPr="006367FB" w14:paraId="61FFE48C" w14:textId="77777777" w:rsidTr="006367FB">
        <w:tc>
          <w:tcPr>
            <w:tcW w:w="804" w:type="pct"/>
            <w:tcBorders>
              <w:bottom w:val="single" w:sz="4" w:space="0" w:color="auto"/>
            </w:tcBorders>
          </w:tcPr>
          <w:p w14:paraId="0E346969" w14:textId="257510C1" w:rsidR="006367FB" w:rsidRPr="006367FB" w:rsidRDefault="006367FB" w:rsidP="006367FB">
            <w:pPr>
              <w:rPr>
                <w:sz w:val="20"/>
              </w:rPr>
            </w:pPr>
            <w:r w:rsidRPr="006367FB">
              <w:rPr>
                <w:sz w:val="20"/>
              </w:rPr>
              <w:t>Gender*ESCS</w:t>
            </w:r>
          </w:p>
        </w:tc>
        <w:tc>
          <w:tcPr>
            <w:tcW w:w="659" w:type="pct"/>
            <w:tcBorders>
              <w:bottom w:val="single" w:sz="4" w:space="0" w:color="auto"/>
            </w:tcBorders>
          </w:tcPr>
          <w:p w14:paraId="0BBCA868" w14:textId="77777777" w:rsidR="006367FB" w:rsidRPr="006367FB" w:rsidRDefault="006367FB" w:rsidP="006367FB">
            <w:pPr>
              <w:jc w:val="center"/>
              <w:rPr>
                <w:sz w:val="20"/>
              </w:rPr>
            </w:pPr>
          </w:p>
        </w:tc>
        <w:tc>
          <w:tcPr>
            <w:tcW w:w="670" w:type="pct"/>
            <w:tcBorders>
              <w:bottom w:val="single" w:sz="4" w:space="0" w:color="auto"/>
            </w:tcBorders>
          </w:tcPr>
          <w:p w14:paraId="5F95474A" w14:textId="77777777" w:rsidR="006367FB" w:rsidRPr="006367FB" w:rsidRDefault="006367FB" w:rsidP="006367FB">
            <w:pPr>
              <w:jc w:val="center"/>
              <w:rPr>
                <w:sz w:val="20"/>
              </w:rPr>
            </w:pPr>
          </w:p>
        </w:tc>
        <w:tc>
          <w:tcPr>
            <w:tcW w:w="671" w:type="pct"/>
            <w:tcBorders>
              <w:bottom w:val="single" w:sz="4" w:space="0" w:color="auto"/>
            </w:tcBorders>
          </w:tcPr>
          <w:p w14:paraId="7CDCD3D8" w14:textId="77777777" w:rsidR="006367FB" w:rsidRPr="006367FB" w:rsidRDefault="006367FB" w:rsidP="006367FB">
            <w:pPr>
              <w:jc w:val="center"/>
              <w:rPr>
                <w:sz w:val="20"/>
              </w:rPr>
            </w:pPr>
          </w:p>
        </w:tc>
        <w:tc>
          <w:tcPr>
            <w:tcW w:w="756" w:type="pct"/>
            <w:tcBorders>
              <w:bottom w:val="single" w:sz="4" w:space="0" w:color="auto"/>
            </w:tcBorders>
          </w:tcPr>
          <w:p w14:paraId="3EB8103D" w14:textId="6DA02ADE" w:rsidR="006367FB" w:rsidRPr="006367FB" w:rsidRDefault="006367FB" w:rsidP="006367FB">
            <w:pPr>
              <w:jc w:val="center"/>
              <w:rPr>
                <w:sz w:val="20"/>
              </w:rPr>
            </w:pPr>
            <w:r w:rsidRPr="006367FB">
              <w:rPr>
                <w:sz w:val="20"/>
              </w:rPr>
              <w:t>1.564 (3.209)</w:t>
            </w:r>
          </w:p>
        </w:tc>
        <w:tc>
          <w:tcPr>
            <w:tcW w:w="756" w:type="pct"/>
            <w:tcBorders>
              <w:bottom w:val="single" w:sz="4" w:space="0" w:color="auto"/>
            </w:tcBorders>
          </w:tcPr>
          <w:p w14:paraId="3653B6EC" w14:textId="40CB477F" w:rsidR="006367FB" w:rsidRPr="006367FB" w:rsidRDefault="006367FB" w:rsidP="006367FB">
            <w:pPr>
              <w:jc w:val="center"/>
              <w:rPr>
                <w:sz w:val="20"/>
              </w:rPr>
            </w:pPr>
            <w:r>
              <w:rPr>
                <w:sz w:val="20"/>
              </w:rPr>
              <w:t>0.147</w:t>
            </w:r>
            <w:r w:rsidRPr="006367FB">
              <w:rPr>
                <w:sz w:val="20"/>
              </w:rPr>
              <w:t xml:space="preserve"> (</w:t>
            </w:r>
            <w:r>
              <w:rPr>
                <w:sz w:val="20"/>
              </w:rPr>
              <w:t>2.766</w:t>
            </w:r>
            <w:r w:rsidRPr="006367FB">
              <w:rPr>
                <w:sz w:val="20"/>
              </w:rPr>
              <w:t>)</w:t>
            </w:r>
          </w:p>
        </w:tc>
        <w:tc>
          <w:tcPr>
            <w:tcW w:w="684" w:type="pct"/>
            <w:tcBorders>
              <w:bottom w:val="single" w:sz="4" w:space="0" w:color="auto"/>
            </w:tcBorders>
          </w:tcPr>
          <w:p w14:paraId="449D4F81" w14:textId="5259933F" w:rsidR="006367FB" w:rsidRPr="006367FB" w:rsidRDefault="006367FB" w:rsidP="006367FB">
            <w:pPr>
              <w:jc w:val="center"/>
              <w:rPr>
                <w:sz w:val="20"/>
              </w:rPr>
            </w:pPr>
            <w:r w:rsidRPr="006367FB">
              <w:rPr>
                <w:sz w:val="20"/>
              </w:rPr>
              <w:t>1.376 (3.115)</w:t>
            </w:r>
          </w:p>
        </w:tc>
      </w:tr>
      <w:tr w:rsidR="006367FB" w:rsidRPr="006367FB" w14:paraId="135BE143" w14:textId="77777777" w:rsidTr="006367FB">
        <w:tc>
          <w:tcPr>
            <w:tcW w:w="804" w:type="pct"/>
            <w:tcBorders>
              <w:top w:val="single" w:sz="4" w:space="0" w:color="auto"/>
              <w:bottom w:val="nil"/>
            </w:tcBorders>
          </w:tcPr>
          <w:p w14:paraId="0B35E4EE" w14:textId="2DA9FAD6" w:rsidR="006367FB" w:rsidRPr="006367FB" w:rsidRDefault="006367FB" w:rsidP="006367FB">
            <w:pPr>
              <w:rPr>
                <w:sz w:val="20"/>
              </w:rPr>
            </w:pPr>
            <w:r w:rsidRPr="006367FB">
              <w:rPr>
                <w:sz w:val="20"/>
              </w:rPr>
              <w:t xml:space="preserve">Adjusted </w:t>
            </w:r>
            <m:oMath>
              <m:sSup>
                <m:sSupPr>
                  <m:ctrlPr>
                    <w:rPr>
                      <w:rFonts w:ascii="Cambria Math" w:hAnsi="Cambria Math"/>
                      <w:i/>
                      <w:sz w:val="20"/>
                    </w:rPr>
                  </m:ctrlPr>
                </m:sSupPr>
                <m:e>
                  <m:r>
                    <w:rPr>
                      <w:rFonts w:ascii="Cambria Math" w:hAnsi="Cambria Math"/>
                      <w:sz w:val="20"/>
                    </w:rPr>
                    <m:t>R</m:t>
                  </m:r>
                </m:e>
                <m:sup>
                  <m:r>
                    <w:rPr>
                      <w:rFonts w:ascii="Cambria Math" w:hAnsi="Cambria Math"/>
                      <w:sz w:val="20"/>
                    </w:rPr>
                    <m:t>2</m:t>
                  </m:r>
                </m:sup>
              </m:sSup>
            </m:oMath>
            <w:r w:rsidRPr="006367FB">
              <w:rPr>
                <w:sz w:val="20"/>
              </w:rPr>
              <w:t xml:space="preserve"> </w:t>
            </w:r>
          </w:p>
        </w:tc>
        <w:tc>
          <w:tcPr>
            <w:tcW w:w="659" w:type="pct"/>
            <w:tcBorders>
              <w:top w:val="single" w:sz="4" w:space="0" w:color="auto"/>
              <w:bottom w:val="nil"/>
            </w:tcBorders>
          </w:tcPr>
          <w:p w14:paraId="5D654826" w14:textId="0BC19C46" w:rsidR="006367FB" w:rsidRPr="006367FB" w:rsidRDefault="006367FB" w:rsidP="006367FB">
            <w:pPr>
              <w:jc w:val="center"/>
              <w:rPr>
                <w:sz w:val="20"/>
              </w:rPr>
            </w:pPr>
            <w:r w:rsidRPr="006367FB">
              <w:rPr>
                <w:sz w:val="20"/>
              </w:rPr>
              <w:t>0.172</w:t>
            </w:r>
          </w:p>
        </w:tc>
        <w:tc>
          <w:tcPr>
            <w:tcW w:w="670" w:type="pct"/>
            <w:tcBorders>
              <w:top w:val="single" w:sz="4" w:space="0" w:color="auto"/>
              <w:bottom w:val="nil"/>
            </w:tcBorders>
          </w:tcPr>
          <w:p w14:paraId="118DCABA" w14:textId="774E75CA" w:rsidR="006367FB" w:rsidRPr="006367FB" w:rsidRDefault="006367FB" w:rsidP="006367FB">
            <w:pPr>
              <w:jc w:val="center"/>
              <w:rPr>
                <w:sz w:val="20"/>
              </w:rPr>
            </w:pPr>
            <w:r w:rsidRPr="006367FB">
              <w:rPr>
                <w:sz w:val="20"/>
              </w:rPr>
              <w:t>0.173</w:t>
            </w:r>
          </w:p>
        </w:tc>
        <w:tc>
          <w:tcPr>
            <w:tcW w:w="671" w:type="pct"/>
            <w:tcBorders>
              <w:top w:val="single" w:sz="4" w:space="0" w:color="auto"/>
              <w:bottom w:val="nil"/>
            </w:tcBorders>
          </w:tcPr>
          <w:p w14:paraId="07A6EAC9" w14:textId="0739D855" w:rsidR="006367FB" w:rsidRPr="006367FB" w:rsidRDefault="006367FB" w:rsidP="006367FB">
            <w:pPr>
              <w:jc w:val="center"/>
              <w:rPr>
                <w:sz w:val="20"/>
              </w:rPr>
            </w:pPr>
            <w:r w:rsidRPr="006367FB">
              <w:rPr>
                <w:sz w:val="20"/>
              </w:rPr>
              <w:t>0.202</w:t>
            </w:r>
          </w:p>
        </w:tc>
        <w:tc>
          <w:tcPr>
            <w:tcW w:w="756" w:type="pct"/>
            <w:tcBorders>
              <w:top w:val="single" w:sz="4" w:space="0" w:color="auto"/>
              <w:bottom w:val="nil"/>
            </w:tcBorders>
          </w:tcPr>
          <w:p w14:paraId="2989D0C0" w14:textId="1CD76B51" w:rsidR="006367FB" w:rsidRPr="006367FB" w:rsidRDefault="006367FB" w:rsidP="006367FB">
            <w:pPr>
              <w:jc w:val="center"/>
              <w:rPr>
                <w:sz w:val="20"/>
              </w:rPr>
            </w:pPr>
            <w:r w:rsidRPr="006367FB">
              <w:rPr>
                <w:sz w:val="20"/>
              </w:rPr>
              <w:t>0.171</w:t>
            </w:r>
          </w:p>
        </w:tc>
        <w:tc>
          <w:tcPr>
            <w:tcW w:w="756" w:type="pct"/>
            <w:tcBorders>
              <w:top w:val="single" w:sz="4" w:space="0" w:color="auto"/>
              <w:bottom w:val="nil"/>
            </w:tcBorders>
          </w:tcPr>
          <w:p w14:paraId="271A2447" w14:textId="7E5B4E38" w:rsidR="006367FB" w:rsidRPr="006367FB" w:rsidRDefault="006367FB" w:rsidP="006367FB">
            <w:pPr>
              <w:jc w:val="center"/>
              <w:rPr>
                <w:sz w:val="20"/>
              </w:rPr>
            </w:pPr>
            <w:r>
              <w:rPr>
                <w:sz w:val="20"/>
              </w:rPr>
              <w:t>0.172</w:t>
            </w:r>
          </w:p>
        </w:tc>
        <w:tc>
          <w:tcPr>
            <w:tcW w:w="684" w:type="pct"/>
            <w:tcBorders>
              <w:top w:val="single" w:sz="4" w:space="0" w:color="auto"/>
              <w:bottom w:val="nil"/>
            </w:tcBorders>
          </w:tcPr>
          <w:p w14:paraId="30EE790F" w14:textId="5172B03A" w:rsidR="006367FB" w:rsidRPr="006367FB" w:rsidRDefault="006367FB" w:rsidP="006367FB">
            <w:pPr>
              <w:jc w:val="center"/>
              <w:rPr>
                <w:sz w:val="20"/>
              </w:rPr>
            </w:pPr>
            <w:r w:rsidRPr="006367FB">
              <w:rPr>
                <w:sz w:val="20"/>
              </w:rPr>
              <w:t>0.202</w:t>
            </w:r>
          </w:p>
        </w:tc>
      </w:tr>
      <w:tr w:rsidR="006367FB" w:rsidRPr="006367FB" w14:paraId="62FB515E" w14:textId="77777777" w:rsidTr="006367FB">
        <w:tc>
          <w:tcPr>
            <w:tcW w:w="804" w:type="pct"/>
            <w:tcBorders>
              <w:top w:val="nil"/>
              <w:bottom w:val="single" w:sz="4" w:space="0" w:color="auto"/>
            </w:tcBorders>
          </w:tcPr>
          <w:p w14:paraId="5D7E5BE9" w14:textId="6D08B5F0" w:rsidR="006367FB" w:rsidRPr="006367FB" w:rsidRDefault="006367FB" w:rsidP="006367FB">
            <w:pPr>
              <w:rPr>
                <w:sz w:val="20"/>
              </w:rPr>
            </w:pPr>
            <w:r w:rsidRPr="006367FB">
              <w:rPr>
                <w:sz w:val="20"/>
              </w:rPr>
              <w:t>F-value</w:t>
            </w:r>
          </w:p>
        </w:tc>
        <w:tc>
          <w:tcPr>
            <w:tcW w:w="659" w:type="pct"/>
            <w:tcBorders>
              <w:top w:val="nil"/>
              <w:bottom w:val="single" w:sz="4" w:space="0" w:color="auto"/>
            </w:tcBorders>
          </w:tcPr>
          <w:p w14:paraId="065C4D7C" w14:textId="77777777" w:rsidR="006367FB" w:rsidRPr="006367FB" w:rsidRDefault="006367FB" w:rsidP="006367FB">
            <w:pPr>
              <w:rPr>
                <w:sz w:val="20"/>
              </w:rPr>
            </w:pPr>
            <w:r w:rsidRPr="006367FB">
              <w:rPr>
                <w:sz w:val="20"/>
              </w:rPr>
              <w:t xml:space="preserve">F(2,1853) </w:t>
            </w:r>
          </w:p>
          <w:p w14:paraId="2BA22EF1" w14:textId="5CA0229A" w:rsidR="006367FB" w:rsidRPr="006367FB" w:rsidRDefault="006367FB" w:rsidP="006367FB">
            <w:pPr>
              <w:rPr>
                <w:sz w:val="20"/>
              </w:rPr>
            </w:pPr>
            <w:r w:rsidRPr="006367FB">
              <w:rPr>
                <w:sz w:val="20"/>
              </w:rPr>
              <w:t>= 193.1***</w:t>
            </w:r>
          </w:p>
        </w:tc>
        <w:tc>
          <w:tcPr>
            <w:tcW w:w="670" w:type="pct"/>
            <w:tcBorders>
              <w:top w:val="nil"/>
              <w:bottom w:val="single" w:sz="4" w:space="0" w:color="auto"/>
            </w:tcBorders>
          </w:tcPr>
          <w:p w14:paraId="2E26BE62" w14:textId="77777777" w:rsidR="006367FB" w:rsidRPr="006367FB" w:rsidRDefault="006367FB" w:rsidP="006367FB">
            <w:pPr>
              <w:jc w:val="center"/>
              <w:rPr>
                <w:sz w:val="20"/>
              </w:rPr>
            </w:pPr>
            <w:r w:rsidRPr="006367FB">
              <w:rPr>
                <w:sz w:val="20"/>
              </w:rPr>
              <w:t xml:space="preserve">F(2,1853) </w:t>
            </w:r>
          </w:p>
          <w:p w14:paraId="07EF9737" w14:textId="1E1531DD" w:rsidR="006367FB" w:rsidRPr="006367FB" w:rsidRDefault="006367FB" w:rsidP="006367FB">
            <w:pPr>
              <w:jc w:val="center"/>
              <w:rPr>
                <w:sz w:val="20"/>
              </w:rPr>
            </w:pPr>
            <w:r w:rsidRPr="006367FB">
              <w:rPr>
                <w:sz w:val="20"/>
              </w:rPr>
              <w:t>= 194.5***</w:t>
            </w:r>
          </w:p>
        </w:tc>
        <w:tc>
          <w:tcPr>
            <w:tcW w:w="671" w:type="pct"/>
            <w:tcBorders>
              <w:top w:val="nil"/>
              <w:bottom w:val="single" w:sz="4" w:space="0" w:color="auto"/>
            </w:tcBorders>
          </w:tcPr>
          <w:p w14:paraId="3A9A3A69" w14:textId="77777777" w:rsidR="006367FB" w:rsidRPr="006367FB" w:rsidRDefault="006367FB" w:rsidP="006367FB">
            <w:pPr>
              <w:jc w:val="center"/>
              <w:rPr>
                <w:sz w:val="20"/>
              </w:rPr>
            </w:pPr>
            <w:r w:rsidRPr="006367FB">
              <w:rPr>
                <w:sz w:val="20"/>
              </w:rPr>
              <w:t xml:space="preserve">F(2,1853) </w:t>
            </w:r>
          </w:p>
          <w:p w14:paraId="0D88CD49" w14:textId="1131B284" w:rsidR="006367FB" w:rsidRPr="006367FB" w:rsidRDefault="006367FB" w:rsidP="006367FB">
            <w:pPr>
              <w:jc w:val="center"/>
              <w:rPr>
                <w:sz w:val="20"/>
              </w:rPr>
            </w:pPr>
            <w:r w:rsidRPr="006367FB">
              <w:rPr>
                <w:sz w:val="20"/>
              </w:rPr>
              <w:t>= 235.7***</w:t>
            </w:r>
          </w:p>
        </w:tc>
        <w:tc>
          <w:tcPr>
            <w:tcW w:w="756" w:type="pct"/>
            <w:tcBorders>
              <w:top w:val="nil"/>
              <w:bottom w:val="single" w:sz="4" w:space="0" w:color="auto"/>
            </w:tcBorders>
          </w:tcPr>
          <w:p w14:paraId="5736D563" w14:textId="77777777" w:rsidR="006367FB" w:rsidRPr="006367FB" w:rsidRDefault="006367FB" w:rsidP="006367FB">
            <w:pPr>
              <w:jc w:val="center"/>
              <w:rPr>
                <w:sz w:val="20"/>
              </w:rPr>
            </w:pPr>
            <w:r w:rsidRPr="006367FB">
              <w:rPr>
                <w:sz w:val="20"/>
              </w:rPr>
              <w:t xml:space="preserve">F(3,1852) </w:t>
            </w:r>
          </w:p>
          <w:p w14:paraId="543814C1" w14:textId="4229C351" w:rsidR="006367FB" w:rsidRPr="006367FB" w:rsidRDefault="006367FB" w:rsidP="006367FB">
            <w:pPr>
              <w:jc w:val="center"/>
              <w:rPr>
                <w:sz w:val="20"/>
              </w:rPr>
            </w:pPr>
            <w:r w:rsidRPr="006367FB">
              <w:rPr>
                <w:sz w:val="20"/>
              </w:rPr>
              <w:t>= 128.8***</w:t>
            </w:r>
          </w:p>
        </w:tc>
        <w:tc>
          <w:tcPr>
            <w:tcW w:w="756" w:type="pct"/>
            <w:tcBorders>
              <w:top w:val="nil"/>
              <w:bottom w:val="single" w:sz="4" w:space="0" w:color="auto"/>
            </w:tcBorders>
          </w:tcPr>
          <w:p w14:paraId="3929F23D" w14:textId="77777777" w:rsidR="006367FB" w:rsidRPr="006367FB" w:rsidRDefault="006367FB" w:rsidP="006367FB">
            <w:pPr>
              <w:jc w:val="center"/>
              <w:rPr>
                <w:sz w:val="20"/>
              </w:rPr>
            </w:pPr>
            <w:r w:rsidRPr="006367FB">
              <w:rPr>
                <w:sz w:val="20"/>
              </w:rPr>
              <w:t>F(3,1852) =</w:t>
            </w:r>
          </w:p>
          <w:p w14:paraId="0681028A" w14:textId="519B68E3" w:rsidR="006367FB" w:rsidRPr="006367FB" w:rsidRDefault="006367FB" w:rsidP="006367FB">
            <w:pPr>
              <w:jc w:val="center"/>
              <w:rPr>
                <w:sz w:val="20"/>
              </w:rPr>
            </w:pPr>
            <w:r w:rsidRPr="006367FB">
              <w:rPr>
                <w:sz w:val="20"/>
              </w:rPr>
              <w:t>1</w:t>
            </w:r>
            <w:r>
              <w:rPr>
                <w:sz w:val="20"/>
              </w:rPr>
              <w:t>29.6</w:t>
            </w:r>
            <w:r w:rsidRPr="006367FB">
              <w:rPr>
                <w:sz w:val="20"/>
              </w:rPr>
              <w:t>***</w:t>
            </w:r>
          </w:p>
        </w:tc>
        <w:tc>
          <w:tcPr>
            <w:tcW w:w="684" w:type="pct"/>
            <w:tcBorders>
              <w:top w:val="nil"/>
              <w:bottom w:val="single" w:sz="4" w:space="0" w:color="auto"/>
            </w:tcBorders>
          </w:tcPr>
          <w:p w14:paraId="37DF80D4" w14:textId="77777777" w:rsidR="006367FB" w:rsidRPr="006367FB" w:rsidRDefault="006367FB" w:rsidP="006367FB">
            <w:pPr>
              <w:jc w:val="center"/>
              <w:rPr>
                <w:sz w:val="20"/>
              </w:rPr>
            </w:pPr>
            <w:r w:rsidRPr="006367FB">
              <w:rPr>
                <w:sz w:val="20"/>
              </w:rPr>
              <w:t>F(3,1852) =</w:t>
            </w:r>
          </w:p>
          <w:p w14:paraId="1E4B141E" w14:textId="145E241A" w:rsidR="006367FB" w:rsidRPr="006367FB" w:rsidRDefault="006367FB" w:rsidP="006367FB">
            <w:pPr>
              <w:jc w:val="center"/>
              <w:rPr>
                <w:sz w:val="20"/>
              </w:rPr>
            </w:pPr>
            <w:r w:rsidRPr="006367FB">
              <w:rPr>
                <w:sz w:val="20"/>
              </w:rPr>
              <w:t>157.1***</w:t>
            </w:r>
          </w:p>
        </w:tc>
      </w:tr>
    </w:tbl>
    <w:p w14:paraId="7FCCB676" w14:textId="4E138CBD" w:rsidR="00A022EC" w:rsidRPr="006367FB" w:rsidRDefault="00A022EC" w:rsidP="00E34FD0">
      <w:pPr>
        <w:rPr>
          <w:sz w:val="20"/>
        </w:rPr>
      </w:pPr>
      <w:r w:rsidRPr="006367FB">
        <w:rPr>
          <w:i/>
          <w:iCs/>
          <w:sz w:val="20"/>
        </w:rPr>
        <w:t>Note</w:t>
      </w:r>
      <w:r w:rsidRPr="006367FB">
        <w:rPr>
          <w:sz w:val="20"/>
        </w:rPr>
        <w:t xml:space="preserve">: </w:t>
      </w:r>
      <w:r w:rsidR="006367FB" w:rsidRPr="006367FB">
        <w:rPr>
          <w:sz w:val="20"/>
        </w:rPr>
        <w:t>Parameter estimate and standard errors listed in parentheses</w:t>
      </w:r>
      <w:r w:rsidR="00EF4FBD" w:rsidRPr="006367FB">
        <w:rPr>
          <w:sz w:val="20"/>
        </w:rPr>
        <w:t>, significance **p&lt;0.05, ***p&lt;0.001</w:t>
      </w:r>
    </w:p>
    <w:p w14:paraId="3315293F" w14:textId="77777777" w:rsidR="00EF4FBD" w:rsidRDefault="00EF4FBD" w:rsidP="00EF4FBD"/>
    <w:p w14:paraId="232074B1" w14:textId="77777777" w:rsidR="00886B0B" w:rsidRPr="00EF4FBD" w:rsidRDefault="00886B0B" w:rsidP="00EF4FBD"/>
    <w:p w14:paraId="3563851E" w14:textId="65C914B7" w:rsidR="00F37F54" w:rsidRDefault="003B17F4" w:rsidP="00EF4FBD">
      <w:pPr>
        <w:pStyle w:val="Heading2"/>
      </w:pPr>
      <w:r>
        <w:t xml:space="preserve">3.2 </w:t>
      </w:r>
      <w:r w:rsidR="00FE0E73">
        <w:t>Relationship between gender and ESCS</w:t>
      </w:r>
      <w:r w:rsidR="00F37F54">
        <w:t xml:space="preserve"> on each student achievement separately </w:t>
      </w:r>
    </w:p>
    <w:p w14:paraId="355750E3" w14:textId="77777777" w:rsidR="00A01526" w:rsidRDefault="00D072DB" w:rsidP="00A01526">
      <w:pPr>
        <w:jc w:val="both"/>
      </w:pPr>
      <w:r>
        <w:t xml:space="preserve">Table 1 provides the regression coefficients </w:t>
      </w:r>
      <w:r w:rsidR="00AB5E49">
        <w:t xml:space="preserve">along with the standard errors </w:t>
      </w:r>
      <w:r>
        <w:t xml:space="preserve">for each outcome. </w:t>
      </w:r>
      <w:r w:rsidR="00632B3D">
        <w:t xml:space="preserve">As the interaction effect is not significant, the interpretations are focused in the model </w:t>
      </w:r>
      <w:r>
        <w:t>without interaction</w:t>
      </w:r>
      <w:r w:rsidR="00632B3D">
        <w:t xml:space="preserve">. </w:t>
      </w:r>
    </w:p>
    <w:p w14:paraId="51DE47C6" w14:textId="77777777" w:rsidR="00886B0B" w:rsidRDefault="00886B0B" w:rsidP="00A01526">
      <w:pPr>
        <w:jc w:val="both"/>
      </w:pPr>
    </w:p>
    <w:p w14:paraId="74809CBC" w14:textId="628F8F57" w:rsidR="00A01526" w:rsidRPr="00A01526" w:rsidRDefault="00D5251E" w:rsidP="00A01526">
      <w:pPr>
        <w:ind w:left="1702"/>
        <w:jc w:val="both"/>
      </w:pPr>
      <m:oMath>
        <m:acc>
          <m:accPr>
            <m:ctrlPr>
              <w:rPr>
                <w:rFonts w:ascii="Cambria Math" w:hAnsi="Cambria Math"/>
                <w:i/>
              </w:rPr>
            </m:ctrlPr>
          </m:accPr>
          <m:e>
            <m:r>
              <w:rPr>
                <w:rFonts w:ascii="Cambria Math" w:hAnsi="Cambria Math"/>
              </w:rPr>
              <m:t>Math</m:t>
            </m:r>
          </m:e>
        </m:acc>
        <m:r>
          <w:rPr>
            <w:rFonts w:ascii="Cambria Math" w:hAnsi="Cambria Math"/>
          </w:rPr>
          <m:t>=</m:t>
        </m:r>
        <m:r>
          <m:rPr>
            <m:sty m:val="p"/>
          </m:rPr>
          <w:rPr>
            <w:rFonts w:ascii="Cambria Math" w:hAnsi="Cambria Math"/>
          </w:rPr>
          <m:t>482.703 - 27.058(Gender) + 29.395(ESCS)</m:t>
        </m:r>
      </m:oMath>
      <w:r w:rsidR="00A01526">
        <w:tab/>
      </w:r>
      <w:r w:rsidR="00A01526">
        <w:tab/>
        <w:t>(4)</w:t>
      </w:r>
    </w:p>
    <w:p w14:paraId="38F2ACE3" w14:textId="1C8413FC" w:rsidR="00A01526" w:rsidRDefault="00A01526" w:rsidP="00A01526">
      <w:pPr>
        <w:jc w:val="both"/>
      </w:pPr>
      <w:r>
        <w:tab/>
        <w:t xml:space="preserve">            </w:t>
      </w:r>
      <m:oMath>
        <m:acc>
          <m:accPr>
            <m:ctrlPr>
              <w:rPr>
                <w:rFonts w:ascii="Cambria Math" w:hAnsi="Cambria Math"/>
                <w:i/>
              </w:rPr>
            </m:ctrlPr>
          </m:accPr>
          <m:e>
            <m:r>
              <w:rPr>
                <w:rFonts w:ascii="Cambria Math" w:hAnsi="Cambria Math"/>
              </w:rPr>
              <m:t>Science</m:t>
            </m:r>
          </m:e>
        </m:acc>
        <m:r>
          <w:rPr>
            <w:rFonts w:ascii="Cambria Math" w:hAnsi="Cambria Math"/>
          </w:rPr>
          <m:t>=</m:t>
        </m:r>
        <m:r>
          <m:rPr>
            <m:sty m:val="p"/>
          </m:rPr>
          <w:rPr>
            <w:rFonts w:ascii="Cambria Math" w:hAnsi="Cambria Math"/>
          </w:rPr>
          <m:t>485.229 - 25.866(Gender) + 24.951(ESCS)</m:t>
        </m:r>
      </m:oMath>
      <w:r>
        <w:t xml:space="preserve">  </w:t>
      </w:r>
      <w:r>
        <w:tab/>
      </w:r>
      <w:r>
        <w:tab/>
        <w:t>(5)</w:t>
      </w:r>
    </w:p>
    <w:p w14:paraId="06CFA41F" w14:textId="0C08EB0D" w:rsidR="00A01526" w:rsidRPr="00A01526" w:rsidRDefault="00A01526" w:rsidP="00A01526">
      <w:pPr>
        <w:jc w:val="both"/>
      </w:pPr>
      <w:r>
        <w:t xml:space="preserve">                          </w:t>
      </w:r>
      <m:oMath>
        <m:acc>
          <m:accPr>
            <m:ctrlPr>
              <w:rPr>
                <w:rFonts w:ascii="Cambria Math" w:hAnsi="Cambria Math"/>
                <w:i/>
              </w:rPr>
            </m:ctrlPr>
          </m:accPr>
          <m:e>
            <m:r>
              <w:rPr>
                <w:rFonts w:ascii="Cambria Math" w:hAnsi="Cambria Math"/>
              </w:rPr>
              <m:t>Reading</m:t>
            </m:r>
          </m:e>
        </m:acc>
        <m:r>
          <w:rPr>
            <w:rFonts w:ascii="Cambria Math" w:hAnsi="Cambria Math"/>
          </w:rPr>
          <m:t>=</m:t>
        </m:r>
        <m:r>
          <m:rPr>
            <m:sty m:val="p"/>
          </m:rPr>
          <w:rPr>
            <w:rFonts w:ascii="Cambria Math" w:hAnsi="Cambria Math"/>
          </w:rPr>
          <m:t>472.189 - 45.295(Gender) + 27.337(ESCS)</m:t>
        </m:r>
      </m:oMath>
      <w:r>
        <w:t xml:space="preserve"> </w:t>
      </w:r>
      <w:r>
        <w:tab/>
      </w:r>
      <w:r>
        <w:tab/>
        <w:t>(6)</w:t>
      </w:r>
    </w:p>
    <w:p w14:paraId="577448FA" w14:textId="77777777" w:rsidR="00886B0B" w:rsidRDefault="00886B0B" w:rsidP="009057BD">
      <w:pPr>
        <w:jc w:val="both"/>
      </w:pPr>
    </w:p>
    <w:p w14:paraId="1D83C36E" w14:textId="1DC0ADBE" w:rsidR="009057BD" w:rsidRDefault="00A01526" w:rsidP="009057BD">
      <w:pPr>
        <w:jc w:val="both"/>
      </w:pPr>
      <w:r>
        <w:t xml:space="preserve">where </w:t>
      </w:r>
      <w:r w:rsidR="00632B3D">
        <w:t xml:space="preserve">gender is coded as </w:t>
      </w:r>
      <w:r w:rsidR="00EC4DE3">
        <w:t>0</w:t>
      </w:r>
      <w:r w:rsidR="00632B3D">
        <w:t xml:space="preserve"> = </w:t>
      </w:r>
      <w:r w:rsidR="00EC4DE3">
        <w:t>Fem</w:t>
      </w:r>
      <w:r w:rsidR="00632B3D">
        <w:t xml:space="preserve">ale, </w:t>
      </w:r>
      <w:r w:rsidR="00EC4DE3">
        <w:t>1</w:t>
      </w:r>
      <w:r w:rsidR="00632B3D">
        <w:t xml:space="preserve"> = </w:t>
      </w:r>
      <w:r w:rsidR="00EC4DE3">
        <w:t>M</w:t>
      </w:r>
      <w:r w:rsidR="00632B3D">
        <w:t xml:space="preserve">ale, and ESCS is measured in units. Student’s math score is 27.058 higher for males than females and </w:t>
      </w:r>
      <w:r w:rsidR="005E101A">
        <w:t xml:space="preserve">increased 29.395 </w:t>
      </w:r>
      <w:r w:rsidR="006707C1">
        <w:t>points</w:t>
      </w:r>
      <w:r w:rsidR="005E101A">
        <w:t xml:space="preserve"> for each unit of ESCS. </w:t>
      </w:r>
      <w:r w:rsidR="006707C1">
        <w:t xml:space="preserve">Student’s science score is 25.866 higher for males than females and increased 24.951 points for each unit of ESCS. </w:t>
      </w:r>
      <w:r w:rsidR="00EC4DE3">
        <w:t xml:space="preserve">Student’s reading score is 45.295 higher for males than females and increased 27.337 points for each unit of ESCS. </w:t>
      </w:r>
      <w:r w:rsidR="005E101A">
        <w:t>Both gender and ESCS were significant predictor</w:t>
      </w:r>
      <w:r w:rsidR="00EC4DE3">
        <w:t>s for</w:t>
      </w:r>
      <w:r w:rsidR="005E101A">
        <w:t xml:space="preserve"> math, science and reading separately.</w:t>
      </w:r>
      <w:r w:rsidR="00EC4DE3">
        <w:t xml:space="preserve"> Figure</w:t>
      </w:r>
      <w:r w:rsidR="0011697B">
        <w:t xml:space="preserve"> 3 shows that in general girls have higher scores in math, science and reading than boys. </w:t>
      </w:r>
      <w:r w:rsidR="003E46C6">
        <w:t xml:space="preserve">The linear trend exists in each plot in </w:t>
      </w:r>
      <w:r w:rsidR="00BA5987">
        <w:t>f</w:t>
      </w:r>
      <w:r w:rsidR="003E46C6">
        <w:t xml:space="preserve">igure </w:t>
      </w:r>
      <w:r w:rsidR="00D12BD8">
        <w:t>3</w:t>
      </w:r>
      <w:r w:rsidR="003E46C6">
        <w:t xml:space="preserve">, indicating </w:t>
      </w:r>
      <w:r w:rsidR="0011697B">
        <w:t xml:space="preserve">the score </w:t>
      </w:r>
      <w:r w:rsidR="00E828C2">
        <w:t>increases as ESCS increases</w:t>
      </w:r>
      <w:r w:rsidR="0011697B">
        <w:t>.</w:t>
      </w:r>
    </w:p>
    <w:p w14:paraId="62ED1259" w14:textId="1532E759" w:rsidR="009057BD" w:rsidRDefault="009057BD" w:rsidP="009057BD">
      <w:pPr>
        <w:jc w:val="center"/>
      </w:pPr>
    </w:p>
    <w:p w14:paraId="7FFAFC84" w14:textId="46832B83" w:rsidR="00983E38" w:rsidRDefault="007B7038" w:rsidP="009057BD">
      <w:pPr>
        <w:jc w:val="center"/>
      </w:pPr>
      <w:r w:rsidRPr="007B7038">
        <w:rPr>
          <w:noProof/>
          <w:lang w:val="en-US"/>
        </w:rPr>
        <w:lastRenderedPageBreak/>
        <w:drawing>
          <wp:inline distT="0" distB="0" distL="0" distR="0" wp14:anchorId="312908F9" wp14:editId="3B931900">
            <wp:extent cx="5760085" cy="2344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85" cy="2344420"/>
                    </a:xfrm>
                    <a:prstGeom prst="rect">
                      <a:avLst/>
                    </a:prstGeom>
                  </pic:spPr>
                </pic:pic>
              </a:graphicData>
            </a:graphic>
          </wp:inline>
        </w:drawing>
      </w:r>
    </w:p>
    <w:p w14:paraId="3BE5D3CC" w14:textId="37812FC9" w:rsidR="009057BD" w:rsidRDefault="009057BD" w:rsidP="009057BD">
      <w:pPr>
        <w:jc w:val="center"/>
      </w:pPr>
      <w:r w:rsidRPr="00BD4AAA">
        <w:rPr>
          <w:b/>
          <w:bCs/>
        </w:rPr>
        <w:t xml:space="preserve">Figure </w:t>
      </w:r>
      <w:r w:rsidR="00EC4DE3">
        <w:rPr>
          <w:b/>
          <w:bCs/>
        </w:rPr>
        <w:t>3</w:t>
      </w:r>
      <w:r>
        <w:t xml:space="preserve">. </w:t>
      </w:r>
      <w:r w:rsidR="00EC4DE3">
        <w:t>P</w:t>
      </w:r>
      <w:r>
        <w:t xml:space="preserve">lots between ESCS </w:t>
      </w:r>
      <w:r w:rsidR="0011697B">
        <w:t>and</w:t>
      </w:r>
      <w:r>
        <w:t xml:space="preserve"> mathematics, science, and reading scores</w:t>
      </w:r>
      <w:r w:rsidR="0011697B">
        <w:t xml:space="preserve"> based on gender</w:t>
      </w:r>
      <w:r>
        <w:t>.</w:t>
      </w:r>
    </w:p>
    <w:p w14:paraId="4FCA3251" w14:textId="1AF92013" w:rsidR="000345A5" w:rsidRDefault="000345A5" w:rsidP="009057BD">
      <w:pPr>
        <w:jc w:val="center"/>
      </w:pPr>
    </w:p>
    <w:p w14:paraId="04C073B5" w14:textId="324271E9" w:rsidR="00B31197" w:rsidRDefault="001050EC" w:rsidP="006102BC">
      <w:pPr>
        <w:pStyle w:val="Section"/>
      </w:pPr>
      <w:r>
        <w:t xml:space="preserve">Discussion </w:t>
      </w:r>
    </w:p>
    <w:p w14:paraId="3AF2F223" w14:textId="1B187411" w:rsidR="00EF260E" w:rsidRPr="00E91F26" w:rsidRDefault="00C42B4C" w:rsidP="009B26AB">
      <w:pPr>
        <w:pStyle w:val="Bodytext"/>
        <w:rPr>
          <w:color w:val="auto"/>
          <w:lang w:val="en-GB"/>
        </w:rPr>
      </w:pPr>
      <w:r w:rsidRPr="00E91F26">
        <w:rPr>
          <w:color w:val="auto"/>
          <w:lang w:val="en-GB"/>
        </w:rPr>
        <w:t>This study</w:t>
      </w:r>
      <w:r w:rsidR="00522749" w:rsidRPr="00E91F26">
        <w:rPr>
          <w:color w:val="auto"/>
          <w:lang w:val="en-GB"/>
        </w:rPr>
        <w:t xml:space="preserve"> describes the </w:t>
      </w:r>
      <w:r w:rsidR="001902EC" w:rsidRPr="00E91F26">
        <w:rPr>
          <w:color w:val="auto"/>
          <w:lang w:val="en-GB"/>
        </w:rPr>
        <w:t>relationship</w:t>
      </w:r>
      <w:r w:rsidR="00522749" w:rsidRPr="00E91F26">
        <w:rPr>
          <w:color w:val="auto"/>
          <w:lang w:val="en-GB"/>
        </w:rPr>
        <w:t xml:space="preserve"> of gender and </w:t>
      </w:r>
      <w:r w:rsidR="00803EAD" w:rsidRPr="00E91F26">
        <w:rPr>
          <w:color w:val="auto"/>
          <w:lang w:val="en-GB"/>
        </w:rPr>
        <w:t xml:space="preserve">index of </w:t>
      </w:r>
      <w:r w:rsidR="00522749" w:rsidRPr="00E91F26">
        <w:rPr>
          <w:color w:val="auto"/>
          <w:lang w:val="en-GB"/>
        </w:rPr>
        <w:t>eco</w:t>
      </w:r>
      <w:r w:rsidR="004504AA" w:rsidRPr="00E91F26">
        <w:rPr>
          <w:color w:val="auto"/>
          <w:lang w:val="en-GB"/>
        </w:rPr>
        <w:t>nomic, social</w:t>
      </w:r>
      <w:r w:rsidR="00803EAD" w:rsidRPr="00E91F26">
        <w:rPr>
          <w:color w:val="auto"/>
          <w:lang w:val="en-GB"/>
        </w:rPr>
        <w:t xml:space="preserve"> </w:t>
      </w:r>
      <w:r w:rsidR="004504AA" w:rsidRPr="00E91F26">
        <w:rPr>
          <w:color w:val="auto"/>
          <w:lang w:val="en-GB"/>
        </w:rPr>
        <w:t xml:space="preserve">and cultural status </w:t>
      </w:r>
      <w:r w:rsidR="00803EAD" w:rsidRPr="00E91F26">
        <w:rPr>
          <w:color w:val="auto"/>
          <w:lang w:val="en-GB"/>
        </w:rPr>
        <w:t xml:space="preserve">of the </w:t>
      </w:r>
      <w:r w:rsidR="004504AA" w:rsidRPr="00E91F26">
        <w:rPr>
          <w:color w:val="auto"/>
          <w:lang w:val="en-GB"/>
        </w:rPr>
        <w:t>student</w:t>
      </w:r>
      <w:r w:rsidR="00803EAD" w:rsidRPr="00E91F26">
        <w:rPr>
          <w:color w:val="auto"/>
          <w:lang w:val="en-GB"/>
        </w:rPr>
        <w:t>s</w:t>
      </w:r>
      <w:r w:rsidR="004504AA" w:rsidRPr="00E91F26">
        <w:rPr>
          <w:color w:val="auto"/>
          <w:lang w:val="en-GB"/>
        </w:rPr>
        <w:t xml:space="preserve"> on their skill</w:t>
      </w:r>
      <w:r w:rsidR="001902EC" w:rsidRPr="00E91F26">
        <w:rPr>
          <w:color w:val="auto"/>
          <w:lang w:val="en-GB"/>
        </w:rPr>
        <w:t>s</w:t>
      </w:r>
      <w:r w:rsidR="004504AA" w:rsidRPr="00E91F26">
        <w:rPr>
          <w:color w:val="auto"/>
          <w:lang w:val="en-GB"/>
        </w:rPr>
        <w:t xml:space="preserve"> </w:t>
      </w:r>
      <w:r w:rsidR="001902EC" w:rsidRPr="00E91F26">
        <w:rPr>
          <w:color w:val="auto"/>
          <w:lang w:val="en-GB"/>
        </w:rPr>
        <w:t>in</w:t>
      </w:r>
      <w:r w:rsidR="004504AA" w:rsidRPr="00E91F26">
        <w:rPr>
          <w:color w:val="auto"/>
          <w:lang w:val="en-GB"/>
        </w:rPr>
        <w:t xml:space="preserve"> mathematics, science and reading. This study </w:t>
      </w:r>
      <w:r w:rsidR="001902EC" w:rsidRPr="00E91F26">
        <w:rPr>
          <w:color w:val="auto"/>
          <w:lang w:val="en-GB"/>
        </w:rPr>
        <w:t>used PISA 2018 Indonesia for Daerah Istimewa Yogyakarta</w:t>
      </w:r>
      <w:r w:rsidR="00803EAD" w:rsidRPr="00E91F26">
        <w:rPr>
          <w:color w:val="auto"/>
          <w:lang w:val="en-GB"/>
        </w:rPr>
        <w:t xml:space="preserve"> (DIY) province</w:t>
      </w:r>
      <w:r w:rsidR="001902EC" w:rsidRPr="00E91F26">
        <w:rPr>
          <w:color w:val="auto"/>
          <w:lang w:val="en-GB"/>
        </w:rPr>
        <w:t xml:space="preserve"> and </w:t>
      </w:r>
      <w:proofErr w:type="spellStart"/>
      <w:r w:rsidR="001902EC" w:rsidRPr="00E91F26">
        <w:rPr>
          <w:color w:val="auto"/>
          <w:lang w:val="en-GB"/>
        </w:rPr>
        <w:t>analyzed</w:t>
      </w:r>
      <w:proofErr w:type="spellEnd"/>
      <w:r w:rsidR="001902EC" w:rsidRPr="00E91F26">
        <w:rPr>
          <w:color w:val="auto"/>
          <w:lang w:val="en-GB"/>
        </w:rPr>
        <w:t xml:space="preserve"> using multivariate linear regression </w:t>
      </w:r>
      <w:r w:rsidR="004504AA" w:rsidRPr="00E91F26">
        <w:rPr>
          <w:color w:val="auto"/>
          <w:lang w:val="en-GB"/>
        </w:rPr>
        <w:t xml:space="preserve">method. </w:t>
      </w:r>
      <w:r w:rsidR="00803EAD" w:rsidRPr="00E91F26">
        <w:rPr>
          <w:color w:val="auto"/>
          <w:lang w:val="en-GB"/>
        </w:rPr>
        <w:t xml:space="preserve">The DIY province is known as home to a large population and </w:t>
      </w:r>
      <w:r w:rsidR="005401EE" w:rsidRPr="00E91F26">
        <w:rPr>
          <w:color w:val="auto"/>
          <w:lang w:val="en-GB"/>
        </w:rPr>
        <w:t xml:space="preserve">to </w:t>
      </w:r>
      <w:r w:rsidR="00803EAD" w:rsidRPr="00E91F26">
        <w:rPr>
          <w:color w:val="auto"/>
          <w:lang w:val="en-GB"/>
        </w:rPr>
        <w:t xml:space="preserve">dozens of schools and universities. </w:t>
      </w:r>
      <w:r w:rsidR="004504AA" w:rsidRPr="00E91F26">
        <w:rPr>
          <w:color w:val="auto"/>
          <w:lang w:val="en-GB"/>
        </w:rPr>
        <w:t>The</w:t>
      </w:r>
      <w:r w:rsidR="00803EAD" w:rsidRPr="00E91F26">
        <w:rPr>
          <w:color w:val="auto"/>
          <w:lang w:val="en-GB"/>
        </w:rPr>
        <w:t xml:space="preserve"> linear</w:t>
      </w:r>
      <w:r w:rsidR="004504AA" w:rsidRPr="00E91F26">
        <w:rPr>
          <w:color w:val="auto"/>
          <w:lang w:val="en-GB"/>
        </w:rPr>
        <w:t xml:space="preserve"> </w:t>
      </w:r>
      <w:r w:rsidR="00803EAD" w:rsidRPr="00E91F26">
        <w:rPr>
          <w:color w:val="auto"/>
          <w:lang w:val="en-GB"/>
        </w:rPr>
        <w:t xml:space="preserve">relationships </w:t>
      </w:r>
      <w:r w:rsidR="00E43CD8" w:rsidRPr="00E91F26">
        <w:rPr>
          <w:color w:val="auto"/>
          <w:lang w:val="en-GB"/>
        </w:rPr>
        <w:t>are</w:t>
      </w:r>
      <w:r w:rsidR="004504AA" w:rsidRPr="00E91F26">
        <w:rPr>
          <w:color w:val="auto"/>
          <w:lang w:val="en-GB"/>
        </w:rPr>
        <w:t xml:space="preserve"> </w:t>
      </w:r>
      <w:r w:rsidR="00E43CD8" w:rsidRPr="00E91F26">
        <w:rPr>
          <w:color w:val="auto"/>
          <w:lang w:val="en-GB"/>
        </w:rPr>
        <w:t xml:space="preserve">significant for </w:t>
      </w:r>
      <w:r w:rsidR="00803EAD" w:rsidRPr="00E91F26">
        <w:rPr>
          <w:color w:val="auto"/>
          <w:lang w:val="en-GB"/>
        </w:rPr>
        <w:t>male</w:t>
      </w:r>
      <w:r w:rsidR="0043600D" w:rsidRPr="00E91F26">
        <w:rPr>
          <w:color w:val="auto"/>
          <w:lang w:val="en-GB"/>
        </w:rPr>
        <w:t xml:space="preserve"> gender</w:t>
      </w:r>
      <w:r w:rsidR="00E43CD8" w:rsidRPr="00E91F26">
        <w:rPr>
          <w:color w:val="auto"/>
          <w:lang w:val="en-GB"/>
        </w:rPr>
        <w:t xml:space="preserve"> (</w:t>
      </w:r>
      <w:r w:rsidR="00803EAD" w:rsidRPr="00E91F26">
        <w:rPr>
          <w:color w:val="auto"/>
          <w:lang w:val="en-GB"/>
        </w:rPr>
        <w:t>p</w:t>
      </w:r>
      <w:r w:rsidR="00E43CD8" w:rsidRPr="00E91F26">
        <w:rPr>
          <w:color w:val="auto"/>
        </w:rPr>
        <w:t>&lt;0.001)</w:t>
      </w:r>
      <w:r w:rsidR="00803EAD" w:rsidRPr="00E91F26">
        <w:rPr>
          <w:color w:val="auto"/>
        </w:rPr>
        <w:t xml:space="preserve"> and </w:t>
      </w:r>
      <w:r w:rsidR="00E43CD8" w:rsidRPr="00E91F26">
        <w:rPr>
          <w:color w:val="auto"/>
        </w:rPr>
        <w:t>ESC</w:t>
      </w:r>
      <w:r w:rsidR="00803EAD" w:rsidRPr="00E91F26">
        <w:rPr>
          <w:color w:val="auto"/>
        </w:rPr>
        <w:t>S</w:t>
      </w:r>
      <w:r w:rsidR="00E43CD8" w:rsidRPr="00E91F26">
        <w:rPr>
          <w:color w:val="auto"/>
        </w:rPr>
        <w:t xml:space="preserve"> (p &lt;0.001)</w:t>
      </w:r>
      <w:r w:rsidR="00803EAD" w:rsidRPr="00E91F26">
        <w:rPr>
          <w:color w:val="auto"/>
        </w:rPr>
        <w:t xml:space="preserve"> to each achievement</w:t>
      </w:r>
      <w:r w:rsidR="00774E94" w:rsidRPr="00E91F26">
        <w:rPr>
          <w:color w:val="auto"/>
          <w:lang w:val="en-GB"/>
        </w:rPr>
        <w:t>.</w:t>
      </w:r>
      <w:r w:rsidR="0043600D" w:rsidRPr="00E91F26">
        <w:rPr>
          <w:color w:val="auto"/>
          <w:lang w:val="en-GB"/>
        </w:rPr>
        <w:t xml:space="preserve"> The student with better economic, social and cultural status shows higher in mathematics, science and reading scores, where girls outperform than boys. The existing gender differences in mathematics is similar to </w:t>
      </w:r>
      <w:r w:rsidR="00265895" w:rsidRPr="00E91F26">
        <w:rPr>
          <w:color w:val="auto"/>
          <w:lang w:val="en-GB"/>
        </w:rPr>
        <w:t xml:space="preserve">a previous </w:t>
      </w:r>
      <w:r w:rsidR="0043600D" w:rsidRPr="00E91F26">
        <w:rPr>
          <w:color w:val="auto"/>
          <w:lang w:val="en-GB"/>
        </w:rPr>
        <w:t xml:space="preserve">study by </w:t>
      </w:r>
      <w:r w:rsidR="00265895" w:rsidRPr="00E91F26">
        <w:rPr>
          <w:color w:val="auto"/>
          <w:lang w:val="en-GB"/>
        </w:rPr>
        <w:t xml:space="preserve">Close and </w:t>
      </w:r>
      <w:proofErr w:type="spellStart"/>
      <w:r w:rsidR="00265895" w:rsidRPr="00E91F26">
        <w:rPr>
          <w:color w:val="auto"/>
          <w:lang w:val="en-GB"/>
        </w:rPr>
        <w:t>Shiel</w:t>
      </w:r>
      <w:proofErr w:type="spellEnd"/>
      <w:r w:rsidR="00265895" w:rsidRPr="00E91F26">
        <w:rPr>
          <w:color w:val="auto"/>
          <w:lang w:val="en-GB"/>
        </w:rPr>
        <w:t xml:space="preserve"> </w:t>
      </w:r>
      <w:r w:rsidR="007822A3" w:rsidRPr="00E91F26">
        <w:rPr>
          <w:color w:val="auto"/>
          <w:lang w:val="en-GB"/>
        </w:rPr>
        <w:t>[19]</w:t>
      </w:r>
      <w:r w:rsidR="00265895" w:rsidRPr="00E91F26">
        <w:rPr>
          <w:color w:val="auto"/>
          <w:lang w:val="en-GB"/>
        </w:rPr>
        <w:t xml:space="preserve"> and the significant </w:t>
      </w:r>
      <w:r w:rsidR="00D419E1" w:rsidRPr="00E91F26">
        <w:rPr>
          <w:color w:val="auto"/>
          <w:lang w:val="en-GB"/>
        </w:rPr>
        <w:t xml:space="preserve">socio-economic and cultural conditions effect on mathematics achievement is inline with the previous result from </w:t>
      </w:r>
      <w:proofErr w:type="spellStart"/>
      <w:r w:rsidR="00D419E1" w:rsidRPr="00E91F26">
        <w:rPr>
          <w:color w:val="auto"/>
          <w:lang w:val="en-GB"/>
        </w:rPr>
        <w:t>Pakpahan</w:t>
      </w:r>
      <w:proofErr w:type="spellEnd"/>
      <w:r w:rsidR="00D419E1" w:rsidRPr="00E91F26">
        <w:rPr>
          <w:color w:val="auto"/>
          <w:lang w:val="en-GB"/>
        </w:rPr>
        <w:t xml:space="preserve"> </w:t>
      </w:r>
      <w:r w:rsidR="007822A3" w:rsidRPr="00E91F26">
        <w:rPr>
          <w:color w:val="auto"/>
          <w:lang w:val="en-GB"/>
        </w:rPr>
        <w:t>[7]</w:t>
      </w:r>
      <w:r w:rsidR="00D419E1" w:rsidRPr="00E91F26">
        <w:rPr>
          <w:color w:val="auto"/>
          <w:lang w:val="en-GB"/>
        </w:rPr>
        <w:t>.</w:t>
      </w:r>
      <w:r w:rsidR="008F4F55" w:rsidRPr="00E91F26">
        <w:rPr>
          <w:color w:val="auto"/>
          <w:lang w:val="en-GB"/>
        </w:rPr>
        <w:t xml:space="preserve"> Fonseca </w:t>
      </w:r>
      <w:r w:rsidR="008F4F55" w:rsidRPr="00E91F26">
        <w:rPr>
          <w:i/>
          <w:color w:val="auto"/>
          <w:lang w:val="en-GB"/>
        </w:rPr>
        <w:t>et al</w:t>
      </w:r>
      <w:r w:rsidR="007822A3" w:rsidRPr="00E91F26">
        <w:rPr>
          <w:i/>
          <w:color w:val="auto"/>
          <w:lang w:val="en-GB"/>
        </w:rPr>
        <w:t>.</w:t>
      </w:r>
      <w:r w:rsidR="008F4F55" w:rsidRPr="00E91F26">
        <w:rPr>
          <w:color w:val="auto"/>
          <w:lang w:val="en-GB"/>
        </w:rPr>
        <w:t xml:space="preserve"> </w:t>
      </w:r>
      <w:r w:rsidR="007822A3" w:rsidRPr="00E91F26">
        <w:rPr>
          <w:color w:val="auto"/>
          <w:lang w:val="en-GB"/>
        </w:rPr>
        <w:t>[20]</w:t>
      </w:r>
      <w:r w:rsidR="008F4F55" w:rsidRPr="00E91F26">
        <w:rPr>
          <w:color w:val="auto"/>
          <w:lang w:val="en-GB"/>
        </w:rPr>
        <w:t xml:space="preserve"> reported the relationship between gender and ESCS to science achievement, whereas </w:t>
      </w:r>
      <w:proofErr w:type="spellStart"/>
      <w:r w:rsidR="008F4F55" w:rsidRPr="00E91F26">
        <w:rPr>
          <w:color w:val="auto"/>
          <w:lang w:val="en-GB"/>
        </w:rPr>
        <w:t>Naumaan</w:t>
      </w:r>
      <w:proofErr w:type="spellEnd"/>
      <w:r w:rsidR="008F4F55" w:rsidRPr="00E91F26">
        <w:rPr>
          <w:color w:val="auto"/>
          <w:lang w:val="en-GB"/>
        </w:rPr>
        <w:t xml:space="preserve"> and </w:t>
      </w:r>
      <w:proofErr w:type="spellStart"/>
      <w:r w:rsidR="008F4F55" w:rsidRPr="00E91F26">
        <w:rPr>
          <w:color w:val="auto"/>
          <w:lang w:val="en-GB"/>
        </w:rPr>
        <w:t>Salzer</w:t>
      </w:r>
      <w:proofErr w:type="spellEnd"/>
      <w:r w:rsidR="008F4F55" w:rsidRPr="00E91F26">
        <w:rPr>
          <w:color w:val="auto"/>
          <w:lang w:val="en-GB"/>
        </w:rPr>
        <w:t xml:space="preserve"> </w:t>
      </w:r>
      <w:r w:rsidR="007822A3" w:rsidRPr="00E91F26">
        <w:rPr>
          <w:color w:val="auto"/>
          <w:lang w:val="en-GB"/>
        </w:rPr>
        <w:t>[21]</w:t>
      </w:r>
      <w:r w:rsidR="008F4F55" w:rsidRPr="00E91F26">
        <w:rPr>
          <w:color w:val="auto"/>
          <w:lang w:val="en-GB"/>
        </w:rPr>
        <w:t xml:space="preserve"> showed in reading achievement. </w:t>
      </w:r>
    </w:p>
    <w:p w14:paraId="7CBE8D94" w14:textId="52026957" w:rsidR="007822A3" w:rsidRPr="007822A3" w:rsidRDefault="00FA0763" w:rsidP="007822A3">
      <w:pPr>
        <w:pStyle w:val="BodytextIndented"/>
        <w:rPr>
          <w:lang w:val="en-GB"/>
        </w:rPr>
      </w:pPr>
      <w:r>
        <w:rPr>
          <w:lang w:val="en-GB"/>
        </w:rPr>
        <w:t>To obtain the whole figure of relations between ESCS and gender to students’ performance in Indonesia, these result</w:t>
      </w:r>
      <w:r w:rsidR="00EF71A1">
        <w:rPr>
          <w:lang w:val="en-GB"/>
        </w:rPr>
        <w:t>s</w:t>
      </w:r>
      <w:r>
        <w:rPr>
          <w:lang w:val="en-GB"/>
        </w:rPr>
        <w:t xml:space="preserve"> should be compared </w:t>
      </w:r>
      <w:r w:rsidR="00EF71A1">
        <w:rPr>
          <w:lang w:val="en-GB"/>
        </w:rPr>
        <w:t>with</w:t>
      </w:r>
      <w:r>
        <w:rPr>
          <w:lang w:val="en-GB"/>
        </w:rPr>
        <w:t xml:space="preserve"> the overall Indonesian result</w:t>
      </w:r>
      <w:r w:rsidR="00EF71A1">
        <w:rPr>
          <w:lang w:val="en-GB"/>
        </w:rPr>
        <w:t>s</w:t>
      </w:r>
      <w:r>
        <w:rPr>
          <w:lang w:val="en-GB"/>
        </w:rPr>
        <w:t>.</w:t>
      </w:r>
      <w:r w:rsidR="00DE50A5">
        <w:rPr>
          <w:lang w:val="en-GB"/>
        </w:rPr>
        <w:t xml:space="preserve"> Several other variables available in PISA 2018 could be explored, for example parents’ education, collection of books, and students’ facilities at home.</w:t>
      </w:r>
      <w:r w:rsidR="00EF71A1">
        <w:rPr>
          <w:lang w:val="en-GB"/>
        </w:rPr>
        <w:t xml:space="preserve"> </w:t>
      </w:r>
      <w:r w:rsidR="007B5694">
        <w:rPr>
          <w:lang w:val="en-GB"/>
        </w:rPr>
        <w:t>Following some previous stud</w:t>
      </w:r>
      <w:r w:rsidR="00EF71A1">
        <w:rPr>
          <w:lang w:val="en-GB"/>
        </w:rPr>
        <w:t>ies</w:t>
      </w:r>
      <w:r w:rsidR="00BE4C09">
        <w:rPr>
          <w:lang w:val="en-GB"/>
        </w:rPr>
        <w:t xml:space="preserve"> </w:t>
      </w:r>
      <w:r w:rsidR="00DE50A5">
        <w:rPr>
          <w:lang w:val="en-GB"/>
        </w:rPr>
        <w:t>such as [8] and [22]</w:t>
      </w:r>
      <w:r w:rsidR="007B5694">
        <w:rPr>
          <w:lang w:val="en-GB"/>
        </w:rPr>
        <w:t xml:space="preserve">, several variables in school level can be added into the model, for example </w:t>
      </w:r>
      <w:r w:rsidR="0021793D">
        <w:rPr>
          <w:lang w:val="en-GB"/>
        </w:rPr>
        <w:t xml:space="preserve">school size, </w:t>
      </w:r>
      <w:r w:rsidR="007F39CC">
        <w:rPr>
          <w:lang w:val="en-GB"/>
        </w:rPr>
        <w:t>school average ESCS, ratio between student and teacher, sex ratio between students, and school facilities. As a consequence, another method such as multi-level analysi</w:t>
      </w:r>
      <w:r w:rsidR="00E87071">
        <w:rPr>
          <w:lang w:val="en-GB"/>
        </w:rPr>
        <w:t>s</w:t>
      </w:r>
      <w:r w:rsidR="007F39CC">
        <w:rPr>
          <w:lang w:val="en-GB"/>
        </w:rPr>
        <w:t xml:space="preserve"> can be used to analyse the data.</w:t>
      </w:r>
      <w:r w:rsidR="00BE4C09">
        <w:rPr>
          <w:lang w:val="en-GB"/>
        </w:rPr>
        <w:t xml:space="preserve"> </w:t>
      </w:r>
    </w:p>
    <w:p w14:paraId="2F2963EC" w14:textId="77777777" w:rsidR="00886B0B" w:rsidRPr="00886B0B" w:rsidRDefault="00886B0B" w:rsidP="00886B0B">
      <w:pPr>
        <w:pStyle w:val="BodytextIndented"/>
        <w:rPr>
          <w:lang w:val="en-GB"/>
        </w:rPr>
      </w:pPr>
    </w:p>
    <w:p w14:paraId="594F9BDC" w14:textId="501CDCF7" w:rsidR="00892DD1" w:rsidRPr="00892DD1" w:rsidRDefault="00892DD1" w:rsidP="006102BC">
      <w:pPr>
        <w:pStyle w:val="Section"/>
      </w:pPr>
      <w:r>
        <w:t>C</w:t>
      </w:r>
      <w:r w:rsidR="001050EC">
        <w:t>on</w:t>
      </w:r>
      <w:r>
        <w:t>clusion</w:t>
      </w:r>
    </w:p>
    <w:bookmarkEnd w:id="0"/>
    <w:p w14:paraId="65CACA17" w14:textId="3AB799C6" w:rsidR="006F45A4" w:rsidRDefault="002F2712" w:rsidP="002F2712">
      <w:pPr>
        <w:jc w:val="both"/>
      </w:pPr>
      <w:r w:rsidRPr="002B7F2A">
        <w:t xml:space="preserve">The multivariate </w:t>
      </w:r>
      <w:r w:rsidR="008F4F55" w:rsidRPr="002B7F2A">
        <w:t>linear regression analyses</w:t>
      </w:r>
      <w:r w:rsidRPr="002B7F2A">
        <w:t xml:space="preserve"> suggested that all significant </w:t>
      </w:r>
      <w:r w:rsidR="008F4F55" w:rsidRPr="002B7F2A">
        <w:t xml:space="preserve">relationship </w:t>
      </w:r>
      <w:r w:rsidRPr="002B7F2A">
        <w:t xml:space="preserve">for gender </w:t>
      </w:r>
      <w:r w:rsidR="008F4F55" w:rsidRPr="002B7F2A">
        <w:t>and</w:t>
      </w:r>
      <w:r w:rsidRPr="002B7F2A">
        <w:t xml:space="preserve"> index of economic, social and cultural status</w:t>
      </w:r>
      <w:r w:rsidR="008F4F55" w:rsidRPr="002B7F2A">
        <w:t xml:space="preserve"> to mathematics, science and reading. </w:t>
      </w:r>
      <w:r w:rsidRPr="002B7F2A">
        <w:t>The higher</w:t>
      </w:r>
      <w:r w:rsidR="00D46569">
        <w:t xml:space="preserve"> the student’s</w:t>
      </w:r>
      <w:r w:rsidRPr="002B7F2A">
        <w:t xml:space="preserve"> </w:t>
      </w:r>
      <w:r w:rsidR="008F4F55" w:rsidRPr="002B7F2A">
        <w:t xml:space="preserve">index of </w:t>
      </w:r>
      <w:r w:rsidRPr="002B7F2A">
        <w:t xml:space="preserve">economic, social and cultural status, the higher </w:t>
      </w:r>
      <w:r w:rsidR="00D46569">
        <w:t xml:space="preserve">the scores in </w:t>
      </w:r>
      <w:r w:rsidRPr="002B7F2A">
        <w:t xml:space="preserve">mathematics, science, and reading. </w:t>
      </w:r>
      <w:r w:rsidR="00D46569">
        <w:t>Girls tend to attain higher scores than boys.</w:t>
      </w:r>
      <w:r w:rsidR="008F4F55" w:rsidRPr="002B7F2A">
        <w:t xml:space="preserve"> </w:t>
      </w:r>
      <w:r w:rsidR="00717045" w:rsidRPr="002B7F2A">
        <w:t xml:space="preserve">The backgrounds </w:t>
      </w:r>
      <w:r w:rsidR="00D46569">
        <w:t xml:space="preserve">of the students </w:t>
      </w:r>
      <w:r w:rsidR="00717045" w:rsidRPr="002B7F2A">
        <w:t xml:space="preserve">have </w:t>
      </w:r>
      <w:r w:rsidR="00D46569">
        <w:t xml:space="preserve">a </w:t>
      </w:r>
      <w:r w:rsidR="00717045" w:rsidRPr="002B7F2A">
        <w:t>relation to increasing the achievements</w:t>
      </w:r>
      <w:r w:rsidR="00D46569">
        <w:t xml:space="preserve"> of the students</w:t>
      </w:r>
      <w:r w:rsidR="00717045" w:rsidRPr="002B7F2A">
        <w:t>.</w:t>
      </w:r>
    </w:p>
    <w:p w14:paraId="61EB225C" w14:textId="77777777" w:rsidR="00886B0B" w:rsidRPr="002B7F2A" w:rsidRDefault="00886B0B" w:rsidP="002F2712">
      <w:pPr>
        <w:jc w:val="both"/>
      </w:pPr>
    </w:p>
    <w:p w14:paraId="6AC1AC0A" w14:textId="77777777" w:rsidR="00737927" w:rsidRDefault="00737927" w:rsidP="00737927">
      <w:pPr>
        <w:pStyle w:val="Sectionnonumber"/>
      </w:pPr>
      <w:r>
        <w:t>References</w:t>
      </w:r>
    </w:p>
    <w:p w14:paraId="22F1F46B" w14:textId="77777777" w:rsidR="00737927" w:rsidRDefault="00737927" w:rsidP="00737927">
      <w:pPr>
        <w:pStyle w:val="Reference"/>
      </w:pPr>
      <w:r>
        <w:t xml:space="preserve">Namrata D, Amrita, and Anand S 2014 Importance of Science in School curriculum </w:t>
      </w:r>
      <w:r w:rsidRPr="00692EAA">
        <w:rPr>
          <w:bCs/>
          <w:i/>
          <w:iCs w:val="0"/>
        </w:rPr>
        <w:t>WeSchool Knowledge Builder - The National Journal</w:t>
      </w:r>
      <w:r>
        <w:rPr>
          <w:b/>
          <w:bCs/>
          <w:i/>
          <w:iCs w:val="0"/>
        </w:rPr>
        <w:t>.</w:t>
      </w:r>
      <w:r w:rsidRPr="00692EAA">
        <w:rPr>
          <w:bCs/>
          <w:i/>
          <w:iCs w:val="0"/>
        </w:rPr>
        <w:t xml:space="preserve"> </w:t>
      </w:r>
      <w:r w:rsidRPr="00692EAA">
        <w:rPr>
          <w:bCs/>
        </w:rPr>
        <w:t>2</w:t>
      </w:r>
      <w:r>
        <w:t>.</w:t>
      </w:r>
    </w:p>
    <w:p w14:paraId="60DBEBAD" w14:textId="77777777" w:rsidR="00B742CB" w:rsidRDefault="00B742CB" w:rsidP="00B742CB">
      <w:pPr>
        <w:pStyle w:val="Reference"/>
      </w:pPr>
      <w:r w:rsidRPr="001E559B">
        <w:t>Stacey</w:t>
      </w:r>
      <w:r>
        <w:t xml:space="preserve"> </w:t>
      </w:r>
      <w:r w:rsidRPr="001E559B">
        <w:t>K 2011</w:t>
      </w:r>
      <w:r>
        <w:t xml:space="preserve"> </w:t>
      </w:r>
      <w:r w:rsidRPr="001E559B">
        <w:t xml:space="preserve">The PISA view of mathematical literacy in Indonesia </w:t>
      </w:r>
      <w:r w:rsidRPr="00116363">
        <w:rPr>
          <w:bCs/>
          <w:i/>
          <w:iCs w:val="0"/>
        </w:rPr>
        <w:t>Journal on Mathematics Education</w:t>
      </w:r>
      <w:r w:rsidRPr="001E559B">
        <w:t xml:space="preserve"> </w:t>
      </w:r>
      <w:r w:rsidRPr="001E559B">
        <w:rPr>
          <w:b/>
          <w:bCs/>
        </w:rPr>
        <w:t>2</w:t>
      </w:r>
      <w:r w:rsidRPr="001E559B">
        <w:t>(2) 95-126.</w:t>
      </w:r>
    </w:p>
    <w:p w14:paraId="78109F81" w14:textId="5E759722" w:rsidR="00B742CB" w:rsidRDefault="00B742CB" w:rsidP="00B742CB">
      <w:pPr>
        <w:pStyle w:val="Reference"/>
      </w:pPr>
      <w:r w:rsidRPr="001E559B">
        <w:lastRenderedPageBreak/>
        <w:t>Karakolidis A, Pitsia V</w:t>
      </w:r>
      <w:r w:rsidR="00116363">
        <w:t xml:space="preserve"> and</w:t>
      </w:r>
      <w:r w:rsidRPr="001E559B">
        <w:t xml:space="preserve"> Emvalotis A 2016 Mathematics low achievement in Greece: A multilevel analysis of the Programme for International Student Assessment (PISA) 2012 data. </w:t>
      </w:r>
      <w:r w:rsidRPr="00116363">
        <w:rPr>
          <w:i/>
        </w:rPr>
        <w:t>Themes in Science and Technology Education</w:t>
      </w:r>
      <w:r w:rsidRPr="001E559B">
        <w:t xml:space="preserve"> </w:t>
      </w:r>
      <w:r w:rsidRPr="00116363">
        <w:rPr>
          <w:b/>
        </w:rPr>
        <w:t>9</w:t>
      </w:r>
      <w:r w:rsidRPr="001E559B">
        <w:t>(1), 3-24.</w:t>
      </w:r>
    </w:p>
    <w:p w14:paraId="373A7F38" w14:textId="05F823E6" w:rsidR="00737927" w:rsidRPr="001E559B" w:rsidRDefault="00781B73" w:rsidP="00737927">
      <w:pPr>
        <w:pStyle w:val="Reference"/>
      </w:pPr>
      <w:r w:rsidRPr="00955A75">
        <w:t xml:space="preserve">Perera LD 2014 Parents' attitudes towards science and their children's science achievement. </w:t>
      </w:r>
      <w:r w:rsidRPr="00116363">
        <w:rPr>
          <w:i/>
        </w:rPr>
        <w:t>International Journal of Science Education</w:t>
      </w:r>
      <w:r w:rsidRPr="00955A75">
        <w:t xml:space="preserve">, </w:t>
      </w:r>
      <w:r w:rsidRPr="00116363">
        <w:rPr>
          <w:b/>
        </w:rPr>
        <w:t>36</w:t>
      </w:r>
      <w:r w:rsidRPr="00955A75">
        <w:t>, 3021-41.</w:t>
      </w:r>
      <w:r w:rsidR="00B742CB">
        <w:t xml:space="preserve"> </w:t>
      </w:r>
    </w:p>
    <w:p w14:paraId="1649A68E" w14:textId="1F9A2D9D" w:rsidR="00DF5BD0" w:rsidRDefault="00116363" w:rsidP="00DF5BD0">
      <w:pPr>
        <w:pStyle w:val="Reference"/>
      </w:pPr>
      <w:r>
        <w:t>Sun</w:t>
      </w:r>
      <w:r w:rsidR="00DF5BD0" w:rsidRPr="00955A75">
        <w:t xml:space="preserve"> L, Bradley KD</w:t>
      </w:r>
      <w:r>
        <w:t xml:space="preserve"> and</w:t>
      </w:r>
      <w:r w:rsidR="00DF5BD0" w:rsidRPr="00955A75">
        <w:t xml:space="preserve"> Akers K 2012 A multilevel modelling approach to investigating factors impacting science achievement for secondary school students: PISA Hongkong sample.</w:t>
      </w:r>
      <w:r>
        <w:t xml:space="preserve"> </w:t>
      </w:r>
      <w:r w:rsidRPr="00116363">
        <w:rPr>
          <w:i/>
        </w:rPr>
        <w:t>International Journal of Science Education</w:t>
      </w:r>
      <w:r w:rsidRPr="00116363">
        <w:t> </w:t>
      </w:r>
      <w:r w:rsidRPr="00116363">
        <w:rPr>
          <w:b/>
        </w:rPr>
        <w:t>34</w:t>
      </w:r>
      <w:r w:rsidRPr="00116363">
        <w:t>(14), 2107-2125</w:t>
      </w:r>
    </w:p>
    <w:p w14:paraId="3EB3D253" w14:textId="23010326" w:rsidR="00DF5BD0" w:rsidRDefault="00DF5BD0" w:rsidP="00DF5BD0">
      <w:pPr>
        <w:pStyle w:val="Reference"/>
      </w:pPr>
      <w:r w:rsidRPr="001E559B">
        <w:t xml:space="preserve">Anderson JO, Milford T </w:t>
      </w:r>
      <w:r>
        <w:t>and</w:t>
      </w:r>
      <w:r w:rsidRPr="001E559B">
        <w:t xml:space="preserve"> Ross SP 2009 Multilevel modeling with HLM: Taking a second look at PISA. In Quality research in literacy and science education (pp. 263-286). Springer, Dordrecht.</w:t>
      </w:r>
    </w:p>
    <w:p w14:paraId="648552B4" w14:textId="721637F1" w:rsidR="00737927" w:rsidRDefault="00737927" w:rsidP="00737927">
      <w:pPr>
        <w:pStyle w:val="Reference"/>
      </w:pPr>
      <w:r w:rsidRPr="001E559B">
        <w:t xml:space="preserve">Pakpahan R 2016 Faktor-faktor yang memengaruhi capaian literasi matematika siswa Indonesia dalam PISA 2012 </w:t>
      </w:r>
      <w:r w:rsidRPr="00692EAA">
        <w:rPr>
          <w:bCs/>
          <w:i/>
          <w:iCs w:val="0"/>
        </w:rPr>
        <w:t>Jurnal Pendidikan dan Kebudayaan</w:t>
      </w:r>
      <w:r w:rsidRPr="00692EAA">
        <w:t xml:space="preserve"> </w:t>
      </w:r>
      <w:r w:rsidRPr="00692EAA">
        <w:rPr>
          <w:b/>
          <w:bCs/>
        </w:rPr>
        <w:t>1</w:t>
      </w:r>
      <w:r w:rsidRPr="001E559B">
        <w:t>(3) 331-348.</w:t>
      </w:r>
    </w:p>
    <w:p w14:paraId="773A30DA" w14:textId="46FA1147" w:rsidR="00737927" w:rsidRDefault="00737927" w:rsidP="00737927">
      <w:pPr>
        <w:pStyle w:val="Reference"/>
      </w:pPr>
      <w:r w:rsidRPr="001E559B">
        <w:t>Kartianom K</w:t>
      </w:r>
      <w:r w:rsidR="00692EAA">
        <w:t xml:space="preserve"> and</w:t>
      </w:r>
      <w:r w:rsidRPr="001E559B">
        <w:t xml:space="preserve"> Ndayizeye O 2017 What‘s wrong with the Asian and African Students’ mathematics learning achievement? The multilevel PISA 2015 data analysis for Indonesia, Japan, and Algeria. </w:t>
      </w:r>
      <w:r w:rsidRPr="00692EAA">
        <w:rPr>
          <w:i/>
        </w:rPr>
        <w:t>Jurnal Riset Pendidikan Matematika</w:t>
      </w:r>
      <w:r w:rsidRPr="001E559B">
        <w:t xml:space="preserve"> </w:t>
      </w:r>
      <w:r w:rsidRPr="00692EAA">
        <w:rPr>
          <w:b/>
        </w:rPr>
        <w:t>4</w:t>
      </w:r>
      <w:r w:rsidRPr="001E559B">
        <w:t>(2) 200-210.</w:t>
      </w:r>
    </w:p>
    <w:p w14:paraId="41D6FAA9" w14:textId="0275A877" w:rsidR="00591DD9" w:rsidRDefault="00692EAA" w:rsidP="00692EAA">
      <w:pPr>
        <w:pStyle w:val="Reference"/>
      </w:pPr>
      <w:r w:rsidRPr="00692EAA">
        <w:t>Arikan S, van de Vijver FJ</w:t>
      </w:r>
      <w:r>
        <w:t xml:space="preserve"> and</w:t>
      </w:r>
      <w:r w:rsidRPr="00692EAA">
        <w:t xml:space="preserve"> Yagmur K 2018 Propensity Score Matching Helps to Understand Sources of DIF and Mathematics Performance Differences of Indonesian, Turkish, Australian, and Dutch Students in PISA. </w:t>
      </w:r>
      <w:r w:rsidRPr="00692EAA">
        <w:rPr>
          <w:i/>
        </w:rPr>
        <w:t>International Journal of Research in Education and Science</w:t>
      </w:r>
      <w:r w:rsidRPr="00692EAA">
        <w:t xml:space="preserve">, </w:t>
      </w:r>
      <w:r w:rsidRPr="00692EAA">
        <w:rPr>
          <w:b/>
        </w:rPr>
        <w:t>4</w:t>
      </w:r>
      <w:r w:rsidRPr="00692EAA">
        <w:t>(1) 69-81.</w:t>
      </w:r>
    </w:p>
    <w:p w14:paraId="3F810732" w14:textId="77777777" w:rsidR="00A52EF2" w:rsidRDefault="00692EAA" w:rsidP="00A52EF2">
      <w:pPr>
        <w:pStyle w:val="Reference"/>
        <w:rPr>
          <w:color w:val="auto"/>
          <w:lang w:val="en-ID"/>
        </w:rPr>
      </w:pPr>
      <w:r>
        <w:t xml:space="preserve"> </w:t>
      </w:r>
      <w:r w:rsidR="00A52EF2" w:rsidRPr="009825CD">
        <w:rPr>
          <w:rFonts w:ascii="Times New Roman" w:hAnsi="Times New Roman"/>
          <w:color w:val="auto"/>
        </w:rPr>
        <w:t xml:space="preserve">OECD 2019 </w:t>
      </w:r>
      <w:r w:rsidR="00A52EF2" w:rsidRPr="009825CD">
        <w:rPr>
          <w:rFonts w:ascii="Times New Roman" w:hAnsi="Times New Roman"/>
          <w:i/>
          <w:color w:val="auto"/>
        </w:rPr>
        <w:t>Programme for International Student Assessment (PISA) 2018 Results Country note: Indonesia</w:t>
      </w:r>
      <w:r w:rsidR="00A52EF2" w:rsidRPr="009825CD">
        <w:rPr>
          <w:rFonts w:ascii="Times New Roman" w:hAnsi="Times New Roman"/>
          <w:color w:val="auto"/>
        </w:rPr>
        <w:t xml:space="preserve"> (Paris: OECD Publishing).</w:t>
      </w:r>
    </w:p>
    <w:p w14:paraId="76CC7E45" w14:textId="03C74C8F" w:rsidR="00692EAA" w:rsidRDefault="00E62D8F" w:rsidP="00692EAA">
      <w:pPr>
        <w:pStyle w:val="Reference"/>
      </w:pPr>
      <w:r>
        <w:t xml:space="preserve">Kemdikbud 2019 </w:t>
      </w:r>
      <w:r>
        <w:rPr>
          <w:i/>
        </w:rPr>
        <w:t xml:space="preserve">Laporan Hasil Ujian Nasional </w:t>
      </w:r>
      <w:r>
        <w:t xml:space="preserve">(Taken from interactive web site </w:t>
      </w:r>
      <w:hyperlink w:history="1">
        <w:r w:rsidR="00A418E0" w:rsidRPr="00395527">
          <w:rPr>
            <w:rStyle w:val="Hyperlink"/>
          </w:rPr>
          <w:t>https://hasilun. puspendik.kemdikbud.go.id/</w:t>
        </w:r>
      </w:hyperlink>
      <w:r>
        <w:t>)</w:t>
      </w:r>
    </w:p>
    <w:p w14:paraId="1E15213F" w14:textId="5554BDFD" w:rsidR="00692EAA" w:rsidRDefault="00A418E0" w:rsidP="00692EAA">
      <w:pPr>
        <w:pStyle w:val="Reference"/>
      </w:pPr>
      <w:r>
        <w:t xml:space="preserve">Mutijo and Pafrida M (ed.) 2019 </w:t>
      </w:r>
      <w:r>
        <w:rPr>
          <w:i/>
        </w:rPr>
        <w:t>Indeks Pembangunan Manusia Daerah Istimewa Yogyakarta</w:t>
      </w:r>
      <w:r>
        <w:t xml:space="preserve"> (Yogyakarta: Badan Pusat Statistik Provinsi DIY).</w:t>
      </w:r>
    </w:p>
    <w:p w14:paraId="1288BD6D" w14:textId="25FEB407" w:rsidR="00692EAA" w:rsidRDefault="00A418E0" w:rsidP="00692EAA">
      <w:pPr>
        <w:pStyle w:val="Reference"/>
      </w:pPr>
      <w:r>
        <w:t xml:space="preserve">BPS 2020 </w:t>
      </w:r>
      <w:r>
        <w:rPr>
          <w:i/>
        </w:rPr>
        <w:t xml:space="preserve">Berita Resmi Statistik </w:t>
      </w:r>
      <w:r w:rsidR="00801402">
        <w:t>vol 44/07/34 (Yogyakarta: Badan Pusat Statistik Provinsi DIY</w:t>
      </w:r>
    </w:p>
    <w:p w14:paraId="58AF7514" w14:textId="77777777" w:rsidR="00BE124B" w:rsidRPr="009825CD" w:rsidRDefault="00BE124B" w:rsidP="00BE124B">
      <w:pPr>
        <w:pStyle w:val="Reference"/>
        <w:rPr>
          <w:color w:val="auto"/>
          <w:lang w:val="en-US"/>
        </w:rPr>
      </w:pPr>
      <w:r w:rsidRPr="009825CD">
        <w:rPr>
          <w:color w:val="auto"/>
          <w:lang w:val="en-US"/>
        </w:rPr>
        <w:t xml:space="preserve">OECD 2019 </w:t>
      </w:r>
      <w:r w:rsidRPr="009825CD">
        <w:rPr>
          <w:rFonts w:ascii="Times New Roman" w:hAnsi="Times New Roman"/>
          <w:i/>
          <w:color w:val="auto"/>
        </w:rPr>
        <w:t>Programme for International Student Assessment (PISA) 2018 Results vol. III: What School Life Means for Students’ Lives</w:t>
      </w:r>
      <w:r w:rsidRPr="009825CD">
        <w:rPr>
          <w:rFonts w:ascii="Times New Roman" w:hAnsi="Times New Roman"/>
          <w:color w:val="auto"/>
        </w:rPr>
        <w:t xml:space="preserve"> (Paris: OECD Publishing).</w:t>
      </w:r>
    </w:p>
    <w:p w14:paraId="2A6BD639" w14:textId="1C789E5A" w:rsidR="00BE124B" w:rsidRDefault="00116363" w:rsidP="00BE124B">
      <w:pPr>
        <w:pStyle w:val="Reference"/>
      </w:pPr>
      <w:r>
        <w:t>OECD. 2015</w:t>
      </w:r>
      <w:r w:rsidR="00BE124B">
        <w:t>. Scaling procedures and construct validation of context questionnaire data.</w:t>
      </w:r>
    </w:p>
    <w:p w14:paraId="6E63CDA8" w14:textId="77777777" w:rsidR="007A4658" w:rsidRDefault="007A4658" w:rsidP="007A4658">
      <w:pPr>
        <w:pStyle w:val="Reference"/>
      </w:pPr>
      <w:r>
        <w:t>Johnson R A and Wichern D W 2007 Applied Multivariate Statistical Analysis (Upper Saddle River: Prentice Hall)</w:t>
      </w:r>
    </w:p>
    <w:p w14:paraId="6C4C4C19" w14:textId="0B80800F" w:rsidR="007A4658" w:rsidRDefault="007A4658" w:rsidP="007A4658">
      <w:pPr>
        <w:pStyle w:val="Reference"/>
      </w:pPr>
      <w:r>
        <w:t>Korkmaz S, Goksuluk D</w:t>
      </w:r>
      <w:r w:rsidR="00116363">
        <w:t xml:space="preserve"> and</w:t>
      </w:r>
      <w:r>
        <w:t xml:space="preserve"> Zararsiz G 2019 MVN: An R Package for Assessing Multivariate Normality. </w:t>
      </w:r>
    </w:p>
    <w:p w14:paraId="409A256B" w14:textId="2A2EEBFF" w:rsidR="00655DDB" w:rsidRPr="00C05E48" w:rsidRDefault="00655DDB" w:rsidP="00655DDB">
      <w:pPr>
        <w:pStyle w:val="Reference"/>
      </w:pPr>
      <w:r>
        <w:t xml:space="preserve">Abelson RP 1985 A variance explanation paradox: When a little is a lot. </w:t>
      </w:r>
      <w:r w:rsidRPr="00116363">
        <w:rPr>
          <w:i/>
        </w:rPr>
        <w:t>Psychological Bulletin</w:t>
      </w:r>
      <w:r>
        <w:t xml:space="preserve"> </w:t>
      </w:r>
      <w:r w:rsidRPr="00116363">
        <w:rPr>
          <w:b/>
        </w:rPr>
        <w:t>97</w:t>
      </w:r>
      <w:r>
        <w:t>, 129-133.</w:t>
      </w:r>
    </w:p>
    <w:p w14:paraId="0DE68979" w14:textId="22C2C26F" w:rsidR="00BE124B" w:rsidRDefault="007822A3" w:rsidP="00692EAA">
      <w:pPr>
        <w:pStyle w:val="Reference"/>
      </w:pPr>
      <w:r>
        <w:t>Close S and Shiel G 2009 Gender and PISA Mathematics: Irish results in context.</w:t>
      </w:r>
      <w:r w:rsidR="00116363">
        <w:t xml:space="preserve"> </w:t>
      </w:r>
      <w:r w:rsidR="00116363" w:rsidRPr="00116363">
        <w:rPr>
          <w:i/>
        </w:rPr>
        <w:t>European Educational Research Journal</w:t>
      </w:r>
      <w:r w:rsidR="00116363" w:rsidRPr="00116363">
        <w:t> </w:t>
      </w:r>
      <w:r w:rsidR="00116363" w:rsidRPr="00116363">
        <w:rPr>
          <w:b/>
        </w:rPr>
        <w:t>8</w:t>
      </w:r>
      <w:r w:rsidR="00116363" w:rsidRPr="00116363">
        <w:t>(1), 20-33.</w:t>
      </w:r>
    </w:p>
    <w:p w14:paraId="7312E3F9" w14:textId="75753F23" w:rsidR="007822A3" w:rsidRDefault="007822A3" w:rsidP="00692EAA">
      <w:pPr>
        <w:pStyle w:val="Reference"/>
      </w:pPr>
      <w:r w:rsidRPr="007822A3">
        <w:t>Fonseca J, Valente MO</w:t>
      </w:r>
      <w:r w:rsidR="00116363">
        <w:t xml:space="preserve"> and</w:t>
      </w:r>
      <w:r w:rsidRPr="007822A3">
        <w:t xml:space="preserve"> Conboy J 2011 Student characteristics and PISA science performance: Portugal in cross-national comparison. </w:t>
      </w:r>
      <w:r w:rsidRPr="007822A3">
        <w:rPr>
          <w:i/>
        </w:rPr>
        <w:t>Procedia-Social and Behavioral Sciences</w:t>
      </w:r>
      <w:r w:rsidRPr="007822A3">
        <w:t> </w:t>
      </w:r>
      <w:r w:rsidRPr="00116363">
        <w:rPr>
          <w:b/>
        </w:rPr>
        <w:t>12</w:t>
      </w:r>
      <w:r w:rsidRPr="007822A3">
        <w:t>, 322-329.</w:t>
      </w:r>
      <w:r>
        <w:t xml:space="preserve"> </w:t>
      </w:r>
    </w:p>
    <w:p w14:paraId="727AD20F" w14:textId="5DB1BD6C" w:rsidR="00632B3D" w:rsidRDefault="008C7B7B" w:rsidP="008C7B7B">
      <w:pPr>
        <w:pStyle w:val="Reference"/>
      </w:pPr>
      <w:r w:rsidRPr="008C7B7B">
        <w:t>Naumann J</w:t>
      </w:r>
      <w:r>
        <w:t xml:space="preserve"> and</w:t>
      </w:r>
      <w:r w:rsidRPr="008C7B7B">
        <w:t xml:space="preserve"> Sälzer C</w:t>
      </w:r>
      <w:r w:rsidR="00116363">
        <w:t xml:space="preserve"> </w:t>
      </w:r>
      <w:r w:rsidRPr="008C7B7B">
        <w:t>2017 Digital reading proficiency in German 15-year olds: Evidence from PISA 2012. </w:t>
      </w:r>
      <w:r w:rsidRPr="008C7B7B">
        <w:rPr>
          <w:i/>
        </w:rPr>
        <w:t>Zeitschrift für Erziehungswissenschaft</w:t>
      </w:r>
      <w:r w:rsidRPr="008C7B7B">
        <w:t>, </w:t>
      </w:r>
      <w:r w:rsidRPr="008C7B7B">
        <w:rPr>
          <w:i/>
        </w:rPr>
        <w:t>20</w:t>
      </w:r>
      <w:r w:rsidRPr="008C7B7B">
        <w:t>(4), 585-603.</w:t>
      </w:r>
    </w:p>
    <w:p w14:paraId="3BFB117C" w14:textId="78A08C72" w:rsidR="004C4BF8" w:rsidRDefault="00116363" w:rsidP="008C7B7B">
      <w:pPr>
        <w:pStyle w:val="Reference"/>
      </w:pPr>
      <w:r w:rsidRPr="00116363">
        <w:t>Thien LM, Darmawan IGN</w:t>
      </w:r>
      <w:r>
        <w:t xml:space="preserve"> and</w:t>
      </w:r>
      <w:r w:rsidRPr="00116363">
        <w:t xml:space="preserve"> Ong MY 2015 Affective characteristics and mathematics performance in Indonesia, Malaysia, and Thailand: what can PISA 2012 data tell us?. </w:t>
      </w:r>
      <w:r w:rsidRPr="00116363">
        <w:rPr>
          <w:i/>
        </w:rPr>
        <w:t>Large-scale Assessments in Education</w:t>
      </w:r>
      <w:r w:rsidRPr="00116363">
        <w:t>, </w:t>
      </w:r>
      <w:r w:rsidRPr="00116363">
        <w:rPr>
          <w:b/>
        </w:rPr>
        <w:t>3</w:t>
      </w:r>
      <w:r w:rsidRPr="00116363">
        <w:t>(1), 1-16.</w:t>
      </w:r>
    </w:p>
    <w:p w14:paraId="65205F4A" w14:textId="77777777" w:rsidR="00116363" w:rsidRDefault="00116363" w:rsidP="00116363">
      <w:pPr>
        <w:pStyle w:val="Reference"/>
        <w:numPr>
          <w:ilvl w:val="0"/>
          <w:numId w:val="0"/>
        </w:numPr>
        <w:ind w:left="851" w:hanging="851"/>
      </w:pPr>
    </w:p>
    <w:p w14:paraId="25F488EE" w14:textId="77777777" w:rsidR="00116363" w:rsidRDefault="00116363" w:rsidP="00116363">
      <w:pPr>
        <w:pStyle w:val="Reference"/>
        <w:numPr>
          <w:ilvl w:val="0"/>
          <w:numId w:val="0"/>
        </w:numPr>
        <w:ind w:left="851" w:hanging="851"/>
      </w:pPr>
    </w:p>
    <w:sectPr w:rsidR="00116363">
      <w:headerReference w:type="default" r:id="rId15"/>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76D05" w14:textId="77777777" w:rsidR="00D5251E" w:rsidRDefault="00D5251E">
      <w:r>
        <w:separator/>
      </w:r>
    </w:p>
  </w:endnote>
  <w:endnote w:type="continuationSeparator" w:id="0">
    <w:p w14:paraId="4517AA41" w14:textId="77777777" w:rsidR="00D5251E" w:rsidRDefault="00D5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9CDDA" w14:textId="77777777" w:rsidR="00D5251E" w:rsidRPr="00043761" w:rsidRDefault="00D5251E">
      <w:pPr>
        <w:pStyle w:val="Bulleted"/>
        <w:numPr>
          <w:ilvl w:val="0"/>
          <w:numId w:val="0"/>
        </w:numPr>
        <w:rPr>
          <w:rFonts w:ascii="Sabon" w:hAnsi="Sabon"/>
          <w:color w:val="auto"/>
          <w:szCs w:val="20"/>
        </w:rPr>
      </w:pPr>
      <w:r>
        <w:separator/>
      </w:r>
    </w:p>
  </w:footnote>
  <w:footnote w:type="continuationSeparator" w:id="0">
    <w:p w14:paraId="6164F79C" w14:textId="77777777" w:rsidR="00D5251E" w:rsidRDefault="00D52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7BF8E" w14:textId="77777777" w:rsidR="00537596" w:rsidRDefault="00537596"/>
  <w:p w14:paraId="2C0C622F" w14:textId="77777777" w:rsidR="00537596" w:rsidRDefault="00537596"/>
  <w:p w14:paraId="721F765E" w14:textId="77777777" w:rsidR="00537596" w:rsidRDefault="00537596"/>
  <w:p w14:paraId="3C0CF76C" w14:textId="77777777" w:rsidR="00537596" w:rsidRDefault="00537596"/>
  <w:p w14:paraId="587CCD10" w14:textId="77777777" w:rsidR="00537596" w:rsidRDefault="00537596"/>
  <w:p w14:paraId="46D3CF0E" w14:textId="77777777" w:rsidR="00537596" w:rsidRDefault="005375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478AE426"/>
    <w:lvl w:ilvl="0">
      <w:start w:val="1"/>
      <w:numFmt w:val="decimal"/>
      <w:pStyle w:val="Section"/>
      <w:suff w:val="nothing"/>
      <w:lvlText w:val="%1.  "/>
      <w:lvlJc w:val="left"/>
      <w:pPr>
        <w:ind w:left="1419" w:firstLine="0"/>
      </w:pPr>
      <w:rPr>
        <w:rFonts w:hint="default"/>
      </w:rPr>
    </w:lvl>
    <w:lvl w:ilvl="1">
      <w:start w:val="1"/>
      <w:numFmt w:val="decimal"/>
      <w:pStyle w:val="Subsection"/>
      <w:suff w:val="nothing"/>
      <w:lvlText w:val="%1.%2.  "/>
      <w:lvlJc w:val="left"/>
      <w:pPr>
        <w:ind w:left="284" w:firstLine="0"/>
      </w:pPr>
      <w:rPr>
        <w:rFonts w:ascii="Times New Roman" w:hAnsi="Times New Roman" w:cs="Times New Roman"/>
        <w:b w:val="0"/>
        <w:bCs w:val="0"/>
        <w:i/>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subsection"/>
      <w:suff w:val="nothing"/>
      <w:lvlText w:val="%1.%2.%3.  "/>
      <w:lvlJc w:val="left"/>
      <w:pPr>
        <w:ind w:left="284" w:firstLine="142"/>
      </w:pPr>
      <w:rPr>
        <w:rFonts w:hint="default"/>
        <w:i/>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33543"/>
    <w:multiLevelType w:val="multilevel"/>
    <w:tmpl w:val="FA6CC1C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34485DDD"/>
    <w:multiLevelType w:val="multilevel"/>
    <w:tmpl w:val="632ABF3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E4"/>
    <w:rsid w:val="00001790"/>
    <w:rsid w:val="00003129"/>
    <w:rsid w:val="00004C30"/>
    <w:rsid w:val="00006EA6"/>
    <w:rsid w:val="0000750F"/>
    <w:rsid w:val="000103EB"/>
    <w:rsid w:val="00016FEF"/>
    <w:rsid w:val="000176A3"/>
    <w:rsid w:val="00021AC1"/>
    <w:rsid w:val="000261F7"/>
    <w:rsid w:val="00027690"/>
    <w:rsid w:val="00032D90"/>
    <w:rsid w:val="000345A5"/>
    <w:rsid w:val="00037AE7"/>
    <w:rsid w:val="00046D51"/>
    <w:rsid w:val="00052D6B"/>
    <w:rsid w:val="000534DA"/>
    <w:rsid w:val="00056139"/>
    <w:rsid w:val="0006333A"/>
    <w:rsid w:val="00064D93"/>
    <w:rsid w:val="00075C54"/>
    <w:rsid w:val="000956A0"/>
    <w:rsid w:val="00095F34"/>
    <w:rsid w:val="0009676E"/>
    <w:rsid w:val="000B03EC"/>
    <w:rsid w:val="000B2B3F"/>
    <w:rsid w:val="000B4199"/>
    <w:rsid w:val="000C4EB0"/>
    <w:rsid w:val="000D057A"/>
    <w:rsid w:val="000D0914"/>
    <w:rsid w:val="000D2E45"/>
    <w:rsid w:val="000D4D57"/>
    <w:rsid w:val="000D505B"/>
    <w:rsid w:val="000F1D07"/>
    <w:rsid w:val="000F2063"/>
    <w:rsid w:val="00103CD2"/>
    <w:rsid w:val="001050EC"/>
    <w:rsid w:val="00110F69"/>
    <w:rsid w:val="0011441A"/>
    <w:rsid w:val="00116363"/>
    <w:rsid w:val="0011697B"/>
    <w:rsid w:val="00117696"/>
    <w:rsid w:val="00125159"/>
    <w:rsid w:val="00131131"/>
    <w:rsid w:val="001344FD"/>
    <w:rsid w:val="00137052"/>
    <w:rsid w:val="00147442"/>
    <w:rsid w:val="00156E8E"/>
    <w:rsid w:val="0016066A"/>
    <w:rsid w:val="001648A0"/>
    <w:rsid w:val="00164C8C"/>
    <w:rsid w:val="001709BA"/>
    <w:rsid w:val="00174799"/>
    <w:rsid w:val="00187015"/>
    <w:rsid w:val="00187572"/>
    <w:rsid w:val="001902EC"/>
    <w:rsid w:val="0019048E"/>
    <w:rsid w:val="00192255"/>
    <w:rsid w:val="001A0807"/>
    <w:rsid w:val="001A538C"/>
    <w:rsid w:val="001A5EE4"/>
    <w:rsid w:val="001A6109"/>
    <w:rsid w:val="001B1C27"/>
    <w:rsid w:val="001D0467"/>
    <w:rsid w:val="001D3213"/>
    <w:rsid w:val="001D6C60"/>
    <w:rsid w:val="001D76A8"/>
    <w:rsid w:val="001E7798"/>
    <w:rsid w:val="001E7D04"/>
    <w:rsid w:val="001F1FBC"/>
    <w:rsid w:val="00205E1B"/>
    <w:rsid w:val="00212EDD"/>
    <w:rsid w:val="0021397B"/>
    <w:rsid w:val="002161C3"/>
    <w:rsid w:val="0021793D"/>
    <w:rsid w:val="00217A99"/>
    <w:rsid w:val="00217EE2"/>
    <w:rsid w:val="002226F8"/>
    <w:rsid w:val="00222DF1"/>
    <w:rsid w:val="00226296"/>
    <w:rsid w:val="00233039"/>
    <w:rsid w:val="0024018D"/>
    <w:rsid w:val="00242165"/>
    <w:rsid w:val="0025786D"/>
    <w:rsid w:val="00265895"/>
    <w:rsid w:val="00272E93"/>
    <w:rsid w:val="00277B29"/>
    <w:rsid w:val="0028099B"/>
    <w:rsid w:val="00282BFF"/>
    <w:rsid w:val="002835EB"/>
    <w:rsid w:val="0029495A"/>
    <w:rsid w:val="002A5480"/>
    <w:rsid w:val="002A7917"/>
    <w:rsid w:val="002B06DC"/>
    <w:rsid w:val="002B7F2A"/>
    <w:rsid w:val="002C1483"/>
    <w:rsid w:val="002D1DD4"/>
    <w:rsid w:val="002D229D"/>
    <w:rsid w:val="002E3978"/>
    <w:rsid w:val="002E7F60"/>
    <w:rsid w:val="002F1D0D"/>
    <w:rsid w:val="002F2712"/>
    <w:rsid w:val="002F609B"/>
    <w:rsid w:val="00303C99"/>
    <w:rsid w:val="00304437"/>
    <w:rsid w:val="00307D3F"/>
    <w:rsid w:val="0031609D"/>
    <w:rsid w:val="0032065C"/>
    <w:rsid w:val="00320B6E"/>
    <w:rsid w:val="0032280B"/>
    <w:rsid w:val="0033444D"/>
    <w:rsid w:val="00337D33"/>
    <w:rsid w:val="00352E98"/>
    <w:rsid w:val="00356824"/>
    <w:rsid w:val="00380025"/>
    <w:rsid w:val="00383A2D"/>
    <w:rsid w:val="0038624F"/>
    <w:rsid w:val="00394343"/>
    <w:rsid w:val="00394B00"/>
    <w:rsid w:val="00397694"/>
    <w:rsid w:val="003A4466"/>
    <w:rsid w:val="003A62BA"/>
    <w:rsid w:val="003A6A57"/>
    <w:rsid w:val="003B0011"/>
    <w:rsid w:val="003B17F4"/>
    <w:rsid w:val="003B52A4"/>
    <w:rsid w:val="003C3832"/>
    <w:rsid w:val="003C76B9"/>
    <w:rsid w:val="003D2310"/>
    <w:rsid w:val="003E16B8"/>
    <w:rsid w:val="003E46C6"/>
    <w:rsid w:val="003F7A5C"/>
    <w:rsid w:val="003F7B85"/>
    <w:rsid w:val="00401D27"/>
    <w:rsid w:val="00403E0D"/>
    <w:rsid w:val="004150B2"/>
    <w:rsid w:val="0042219B"/>
    <w:rsid w:val="00430477"/>
    <w:rsid w:val="0043600D"/>
    <w:rsid w:val="0045032E"/>
    <w:rsid w:val="004504AA"/>
    <w:rsid w:val="0045117E"/>
    <w:rsid w:val="00465CA8"/>
    <w:rsid w:val="00470D3E"/>
    <w:rsid w:val="00483989"/>
    <w:rsid w:val="004863E6"/>
    <w:rsid w:val="00486A4E"/>
    <w:rsid w:val="00490C30"/>
    <w:rsid w:val="00495E0B"/>
    <w:rsid w:val="00497A8F"/>
    <w:rsid w:val="004B1044"/>
    <w:rsid w:val="004B1543"/>
    <w:rsid w:val="004B162E"/>
    <w:rsid w:val="004B4271"/>
    <w:rsid w:val="004C1DC3"/>
    <w:rsid w:val="004C4BF8"/>
    <w:rsid w:val="004C620E"/>
    <w:rsid w:val="004C787A"/>
    <w:rsid w:val="004D489D"/>
    <w:rsid w:val="004E1237"/>
    <w:rsid w:val="004E58D9"/>
    <w:rsid w:val="004F0045"/>
    <w:rsid w:val="005136E6"/>
    <w:rsid w:val="005158FA"/>
    <w:rsid w:val="00516EA4"/>
    <w:rsid w:val="005222A0"/>
    <w:rsid w:val="00522749"/>
    <w:rsid w:val="00533C1B"/>
    <w:rsid w:val="00535BD8"/>
    <w:rsid w:val="00537596"/>
    <w:rsid w:val="005401EE"/>
    <w:rsid w:val="00540E94"/>
    <w:rsid w:val="00550A9E"/>
    <w:rsid w:val="005513DB"/>
    <w:rsid w:val="0055512A"/>
    <w:rsid w:val="0055672B"/>
    <w:rsid w:val="00556885"/>
    <w:rsid w:val="00560D12"/>
    <w:rsid w:val="00565617"/>
    <w:rsid w:val="00566260"/>
    <w:rsid w:val="00583F23"/>
    <w:rsid w:val="00584FAD"/>
    <w:rsid w:val="00591DD9"/>
    <w:rsid w:val="00596F3E"/>
    <w:rsid w:val="005A121D"/>
    <w:rsid w:val="005A6C98"/>
    <w:rsid w:val="005B1186"/>
    <w:rsid w:val="005B4B35"/>
    <w:rsid w:val="005B6145"/>
    <w:rsid w:val="005D0AE9"/>
    <w:rsid w:val="005D0C04"/>
    <w:rsid w:val="005D0C26"/>
    <w:rsid w:val="005D4E69"/>
    <w:rsid w:val="005D7D68"/>
    <w:rsid w:val="005E0C69"/>
    <w:rsid w:val="005E101A"/>
    <w:rsid w:val="005E7184"/>
    <w:rsid w:val="005F7BA3"/>
    <w:rsid w:val="0060388A"/>
    <w:rsid w:val="0060619A"/>
    <w:rsid w:val="006102BC"/>
    <w:rsid w:val="006115B6"/>
    <w:rsid w:val="00620B33"/>
    <w:rsid w:val="00623DE1"/>
    <w:rsid w:val="00632B3D"/>
    <w:rsid w:val="00632EBB"/>
    <w:rsid w:val="006367FB"/>
    <w:rsid w:val="00636BF3"/>
    <w:rsid w:val="0064366E"/>
    <w:rsid w:val="00651789"/>
    <w:rsid w:val="0065312D"/>
    <w:rsid w:val="00655DDB"/>
    <w:rsid w:val="00660B77"/>
    <w:rsid w:val="006707C1"/>
    <w:rsid w:val="00675EF4"/>
    <w:rsid w:val="006825C5"/>
    <w:rsid w:val="00692EAA"/>
    <w:rsid w:val="006E4FAD"/>
    <w:rsid w:val="006E54E6"/>
    <w:rsid w:val="006F0920"/>
    <w:rsid w:val="006F45A4"/>
    <w:rsid w:val="00707670"/>
    <w:rsid w:val="00707BED"/>
    <w:rsid w:val="00717045"/>
    <w:rsid w:val="00726004"/>
    <w:rsid w:val="00733CB3"/>
    <w:rsid w:val="0073755C"/>
    <w:rsid w:val="00737927"/>
    <w:rsid w:val="00744C16"/>
    <w:rsid w:val="0074565F"/>
    <w:rsid w:val="0076136A"/>
    <w:rsid w:val="00764394"/>
    <w:rsid w:val="00774E94"/>
    <w:rsid w:val="00775669"/>
    <w:rsid w:val="007809E4"/>
    <w:rsid w:val="00781B73"/>
    <w:rsid w:val="007822A3"/>
    <w:rsid w:val="007828CF"/>
    <w:rsid w:val="007947E4"/>
    <w:rsid w:val="00796379"/>
    <w:rsid w:val="007A4658"/>
    <w:rsid w:val="007A57FC"/>
    <w:rsid w:val="007B11A9"/>
    <w:rsid w:val="007B5694"/>
    <w:rsid w:val="007B6E3F"/>
    <w:rsid w:val="007B7038"/>
    <w:rsid w:val="007B7060"/>
    <w:rsid w:val="007C21DF"/>
    <w:rsid w:val="007C4146"/>
    <w:rsid w:val="007C6BAB"/>
    <w:rsid w:val="007D19DC"/>
    <w:rsid w:val="007D3B6B"/>
    <w:rsid w:val="007D60D6"/>
    <w:rsid w:val="007F1281"/>
    <w:rsid w:val="007F12AF"/>
    <w:rsid w:val="007F39CC"/>
    <w:rsid w:val="007F52BA"/>
    <w:rsid w:val="007F7AC5"/>
    <w:rsid w:val="00801402"/>
    <w:rsid w:val="00803EAD"/>
    <w:rsid w:val="0083034F"/>
    <w:rsid w:val="00832051"/>
    <w:rsid w:val="00834114"/>
    <w:rsid w:val="00834BEB"/>
    <w:rsid w:val="008545C8"/>
    <w:rsid w:val="00865805"/>
    <w:rsid w:val="00865F57"/>
    <w:rsid w:val="00867AED"/>
    <w:rsid w:val="008740CB"/>
    <w:rsid w:val="00886B0B"/>
    <w:rsid w:val="00887117"/>
    <w:rsid w:val="0089000C"/>
    <w:rsid w:val="00892AA1"/>
    <w:rsid w:val="00892DD1"/>
    <w:rsid w:val="0089660E"/>
    <w:rsid w:val="008B26E6"/>
    <w:rsid w:val="008B7C23"/>
    <w:rsid w:val="008C7B7B"/>
    <w:rsid w:val="008E3C18"/>
    <w:rsid w:val="008F09A5"/>
    <w:rsid w:val="008F2377"/>
    <w:rsid w:val="008F4F55"/>
    <w:rsid w:val="008F76E5"/>
    <w:rsid w:val="0090578A"/>
    <w:rsid w:val="009057BD"/>
    <w:rsid w:val="00906310"/>
    <w:rsid w:val="0091650F"/>
    <w:rsid w:val="009366D3"/>
    <w:rsid w:val="009405B7"/>
    <w:rsid w:val="00940622"/>
    <w:rsid w:val="009536ED"/>
    <w:rsid w:val="0095415F"/>
    <w:rsid w:val="0095489E"/>
    <w:rsid w:val="00956630"/>
    <w:rsid w:val="00956DF9"/>
    <w:rsid w:val="00966753"/>
    <w:rsid w:val="009730B1"/>
    <w:rsid w:val="00983E38"/>
    <w:rsid w:val="009845CD"/>
    <w:rsid w:val="009A0487"/>
    <w:rsid w:val="009A17C1"/>
    <w:rsid w:val="009B13B0"/>
    <w:rsid w:val="009B2109"/>
    <w:rsid w:val="009B26AB"/>
    <w:rsid w:val="009B5185"/>
    <w:rsid w:val="009B678B"/>
    <w:rsid w:val="009C5219"/>
    <w:rsid w:val="009D3480"/>
    <w:rsid w:val="009D616C"/>
    <w:rsid w:val="009D64E8"/>
    <w:rsid w:val="009E14FE"/>
    <w:rsid w:val="009E7461"/>
    <w:rsid w:val="009F0B11"/>
    <w:rsid w:val="009F1E0F"/>
    <w:rsid w:val="009F31C8"/>
    <w:rsid w:val="009F6270"/>
    <w:rsid w:val="00A01526"/>
    <w:rsid w:val="00A022EC"/>
    <w:rsid w:val="00A042AF"/>
    <w:rsid w:val="00A150F6"/>
    <w:rsid w:val="00A279FC"/>
    <w:rsid w:val="00A366EC"/>
    <w:rsid w:val="00A37FBD"/>
    <w:rsid w:val="00A418E0"/>
    <w:rsid w:val="00A52EF2"/>
    <w:rsid w:val="00A776A3"/>
    <w:rsid w:val="00A77F62"/>
    <w:rsid w:val="00A77F93"/>
    <w:rsid w:val="00A823CA"/>
    <w:rsid w:val="00AA0CF1"/>
    <w:rsid w:val="00AA2534"/>
    <w:rsid w:val="00AA339D"/>
    <w:rsid w:val="00AB5240"/>
    <w:rsid w:val="00AB5E49"/>
    <w:rsid w:val="00AB77BD"/>
    <w:rsid w:val="00AC687F"/>
    <w:rsid w:val="00AD131B"/>
    <w:rsid w:val="00AD3E71"/>
    <w:rsid w:val="00AD7712"/>
    <w:rsid w:val="00AE027D"/>
    <w:rsid w:val="00AE0F02"/>
    <w:rsid w:val="00AE3BCC"/>
    <w:rsid w:val="00AF261C"/>
    <w:rsid w:val="00AF571B"/>
    <w:rsid w:val="00B05982"/>
    <w:rsid w:val="00B0738A"/>
    <w:rsid w:val="00B0777B"/>
    <w:rsid w:val="00B12F1E"/>
    <w:rsid w:val="00B15DB5"/>
    <w:rsid w:val="00B252A4"/>
    <w:rsid w:val="00B31197"/>
    <w:rsid w:val="00B34A2A"/>
    <w:rsid w:val="00B46B59"/>
    <w:rsid w:val="00B52FC0"/>
    <w:rsid w:val="00B54643"/>
    <w:rsid w:val="00B6139B"/>
    <w:rsid w:val="00B638ED"/>
    <w:rsid w:val="00B653C8"/>
    <w:rsid w:val="00B653E3"/>
    <w:rsid w:val="00B65A1B"/>
    <w:rsid w:val="00B66774"/>
    <w:rsid w:val="00B7311C"/>
    <w:rsid w:val="00B742CB"/>
    <w:rsid w:val="00B76AC3"/>
    <w:rsid w:val="00B81B92"/>
    <w:rsid w:val="00B83F45"/>
    <w:rsid w:val="00B95AC2"/>
    <w:rsid w:val="00BA1E37"/>
    <w:rsid w:val="00BA5987"/>
    <w:rsid w:val="00BA683B"/>
    <w:rsid w:val="00BB0D41"/>
    <w:rsid w:val="00BD4AAA"/>
    <w:rsid w:val="00BE0ED6"/>
    <w:rsid w:val="00BE124B"/>
    <w:rsid w:val="00BE2611"/>
    <w:rsid w:val="00BE3180"/>
    <w:rsid w:val="00BE4C09"/>
    <w:rsid w:val="00C040AE"/>
    <w:rsid w:val="00C04414"/>
    <w:rsid w:val="00C13142"/>
    <w:rsid w:val="00C15963"/>
    <w:rsid w:val="00C208DA"/>
    <w:rsid w:val="00C26588"/>
    <w:rsid w:val="00C319FF"/>
    <w:rsid w:val="00C372B1"/>
    <w:rsid w:val="00C376EB"/>
    <w:rsid w:val="00C42849"/>
    <w:rsid w:val="00C42B4C"/>
    <w:rsid w:val="00C46AC1"/>
    <w:rsid w:val="00C565EE"/>
    <w:rsid w:val="00C570F1"/>
    <w:rsid w:val="00C65370"/>
    <w:rsid w:val="00C70A70"/>
    <w:rsid w:val="00C86F4A"/>
    <w:rsid w:val="00C93DE8"/>
    <w:rsid w:val="00CB3731"/>
    <w:rsid w:val="00CB3938"/>
    <w:rsid w:val="00CC3E1D"/>
    <w:rsid w:val="00CC7019"/>
    <w:rsid w:val="00CD2D46"/>
    <w:rsid w:val="00CE77F9"/>
    <w:rsid w:val="00CF044C"/>
    <w:rsid w:val="00D072DB"/>
    <w:rsid w:val="00D12BD8"/>
    <w:rsid w:val="00D13427"/>
    <w:rsid w:val="00D2330A"/>
    <w:rsid w:val="00D23E1E"/>
    <w:rsid w:val="00D322D2"/>
    <w:rsid w:val="00D33272"/>
    <w:rsid w:val="00D348A1"/>
    <w:rsid w:val="00D3559C"/>
    <w:rsid w:val="00D419E1"/>
    <w:rsid w:val="00D46569"/>
    <w:rsid w:val="00D479DB"/>
    <w:rsid w:val="00D50164"/>
    <w:rsid w:val="00D5251E"/>
    <w:rsid w:val="00D5341A"/>
    <w:rsid w:val="00D554BC"/>
    <w:rsid w:val="00D55DB6"/>
    <w:rsid w:val="00D55F4D"/>
    <w:rsid w:val="00D73397"/>
    <w:rsid w:val="00D74BD9"/>
    <w:rsid w:val="00D836CD"/>
    <w:rsid w:val="00D93084"/>
    <w:rsid w:val="00D953E4"/>
    <w:rsid w:val="00D955E0"/>
    <w:rsid w:val="00DA2D40"/>
    <w:rsid w:val="00DA7CEE"/>
    <w:rsid w:val="00DB10D6"/>
    <w:rsid w:val="00DB12F4"/>
    <w:rsid w:val="00DB1F82"/>
    <w:rsid w:val="00DB5C32"/>
    <w:rsid w:val="00DC1391"/>
    <w:rsid w:val="00DC5B8B"/>
    <w:rsid w:val="00DE2FED"/>
    <w:rsid w:val="00DE45C1"/>
    <w:rsid w:val="00DE50A5"/>
    <w:rsid w:val="00DF56E2"/>
    <w:rsid w:val="00DF5BD0"/>
    <w:rsid w:val="00E015B6"/>
    <w:rsid w:val="00E04B27"/>
    <w:rsid w:val="00E058EF"/>
    <w:rsid w:val="00E06A2B"/>
    <w:rsid w:val="00E10C89"/>
    <w:rsid w:val="00E16819"/>
    <w:rsid w:val="00E31FB0"/>
    <w:rsid w:val="00E34FD0"/>
    <w:rsid w:val="00E363B0"/>
    <w:rsid w:val="00E43AB8"/>
    <w:rsid w:val="00E43CD8"/>
    <w:rsid w:val="00E44E73"/>
    <w:rsid w:val="00E52E24"/>
    <w:rsid w:val="00E531CA"/>
    <w:rsid w:val="00E62D8F"/>
    <w:rsid w:val="00E63774"/>
    <w:rsid w:val="00E6535B"/>
    <w:rsid w:val="00E66394"/>
    <w:rsid w:val="00E668A1"/>
    <w:rsid w:val="00E719F3"/>
    <w:rsid w:val="00E71C26"/>
    <w:rsid w:val="00E72357"/>
    <w:rsid w:val="00E74041"/>
    <w:rsid w:val="00E828C2"/>
    <w:rsid w:val="00E85626"/>
    <w:rsid w:val="00E87071"/>
    <w:rsid w:val="00E91F26"/>
    <w:rsid w:val="00E92CE7"/>
    <w:rsid w:val="00EA3828"/>
    <w:rsid w:val="00EA4CDA"/>
    <w:rsid w:val="00EB0E90"/>
    <w:rsid w:val="00EB48F4"/>
    <w:rsid w:val="00EB4D0D"/>
    <w:rsid w:val="00EB5E52"/>
    <w:rsid w:val="00EB6F3D"/>
    <w:rsid w:val="00EB786B"/>
    <w:rsid w:val="00EC44AC"/>
    <w:rsid w:val="00EC4DE3"/>
    <w:rsid w:val="00EC67F0"/>
    <w:rsid w:val="00EC7BB2"/>
    <w:rsid w:val="00EE1C00"/>
    <w:rsid w:val="00EE56F2"/>
    <w:rsid w:val="00EF0566"/>
    <w:rsid w:val="00EF0B1D"/>
    <w:rsid w:val="00EF260E"/>
    <w:rsid w:val="00EF4FBD"/>
    <w:rsid w:val="00EF6BE4"/>
    <w:rsid w:val="00EF71A1"/>
    <w:rsid w:val="00EF7C39"/>
    <w:rsid w:val="00F104E3"/>
    <w:rsid w:val="00F17F8B"/>
    <w:rsid w:val="00F20930"/>
    <w:rsid w:val="00F25BCF"/>
    <w:rsid w:val="00F3532B"/>
    <w:rsid w:val="00F368CF"/>
    <w:rsid w:val="00F37B8C"/>
    <w:rsid w:val="00F37F54"/>
    <w:rsid w:val="00F42974"/>
    <w:rsid w:val="00F552BB"/>
    <w:rsid w:val="00F61147"/>
    <w:rsid w:val="00F6271F"/>
    <w:rsid w:val="00F676AD"/>
    <w:rsid w:val="00F73367"/>
    <w:rsid w:val="00F818FA"/>
    <w:rsid w:val="00F83F9F"/>
    <w:rsid w:val="00FA009C"/>
    <w:rsid w:val="00FA0763"/>
    <w:rsid w:val="00FA19CA"/>
    <w:rsid w:val="00FB7FAC"/>
    <w:rsid w:val="00FC15B4"/>
    <w:rsid w:val="00FC57F2"/>
    <w:rsid w:val="00FC7858"/>
    <w:rsid w:val="00FD62DE"/>
    <w:rsid w:val="00FE00A2"/>
    <w:rsid w:val="00FE0E73"/>
    <w:rsid w:val="00FE1475"/>
    <w:rsid w:val="00FE30CF"/>
    <w:rsid w:val="00FF2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4CB5D"/>
  <w15:docId w15:val="{23A213CB-9A98-4A5C-A674-EE331495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EF4FBD"/>
    <w:pPr>
      <w:numPr>
        <w:ilvl w:val="0"/>
        <w:numId w:val="0"/>
      </w:numPr>
      <w:spacing w:before="0"/>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ind w:left="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qFormat/>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5F7BA3"/>
    <w:rPr>
      <w:color w:val="0000FF" w:themeColor="hyperlink"/>
      <w:u w:val="single"/>
    </w:rPr>
  </w:style>
  <w:style w:type="character" w:customStyle="1" w:styleId="UnresolvedMention1">
    <w:name w:val="Unresolved Mention1"/>
    <w:basedOn w:val="DefaultParagraphFont"/>
    <w:uiPriority w:val="99"/>
    <w:semiHidden/>
    <w:unhideWhenUsed/>
    <w:rsid w:val="005F7BA3"/>
    <w:rPr>
      <w:color w:val="605E5C"/>
      <w:shd w:val="clear" w:color="auto" w:fill="E1DFDD"/>
    </w:rPr>
  </w:style>
  <w:style w:type="table" w:styleId="TableGrid">
    <w:name w:val="Table Grid"/>
    <w:basedOn w:val="TableNormal"/>
    <w:uiPriority w:val="59"/>
    <w:rsid w:val="00726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53E4"/>
    <w:rPr>
      <w:color w:val="808080"/>
    </w:rPr>
  </w:style>
  <w:style w:type="paragraph" w:styleId="HTMLPreformatted">
    <w:name w:val="HTML Preformatted"/>
    <w:basedOn w:val="Normal"/>
    <w:link w:val="HTMLPreformattedChar"/>
    <w:uiPriority w:val="99"/>
    <w:semiHidden/>
    <w:unhideWhenUsed/>
    <w:rsid w:val="00D33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D33272"/>
    <w:rPr>
      <w:rFonts w:ascii="Courier New" w:hAnsi="Courier New" w:cs="Courier New"/>
      <w:lang w:val="en-US" w:eastAsia="en-US"/>
    </w:rPr>
  </w:style>
  <w:style w:type="character" w:customStyle="1" w:styleId="gd15mcfceub">
    <w:name w:val="gd15mcfceub"/>
    <w:basedOn w:val="DefaultParagraphFont"/>
    <w:rsid w:val="00D33272"/>
  </w:style>
  <w:style w:type="paragraph" w:styleId="ListParagraph">
    <w:name w:val="List Paragraph"/>
    <w:basedOn w:val="Normal"/>
    <w:uiPriority w:val="34"/>
    <w:qFormat/>
    <w:rsid w:val="00E43AB8"/>
    <w:pPr>
      <w:ind w:left="720"/>
      <w:contextualSpacing/>
    </w:pPr>
  </w:style>
  <w:style w:type="paragraph" w:styleId="Footer">
    <w:name w:val="footer"/>
    <w:basedOn w:val="Normal"/>
    <w:link w:val="FooterChar"/>
    <w:uiPriority w:val="99"/>
    <w:unhideWhenUsed/>
    <w:rsid w:val="00B66774"/>
    <w:pPr>
      <w:tabs>
        <w:tab w:val="center" w:pos="4680"/>
        <w:tab w:val="right" w:pos="9360"/>
      </w:tabs>
    </w:pPr>
  </w:style>
  <w:style w:type="character" w:customStyle="1" w:styleId="FooterChar">
    <w:name w:val="Footer Char"/>
    <w:basedOn w:val="DefaultParagraphFont"/>
    <w:link w:val="Footer"/>
    <w:uiPriority w:val="99"/>
    <w:rsid w:val="00B66774"/>
    <w:rPr>
      <w:rFonts w:ascii="Times" w:hAnsi="Times"/>
      <w:sz w:val="22"/>
      <w:lang w:eastAsia="en-US"/>
    </w:rPr>
  </w:style>
  <w:style w:type="paragraph" w:styleId="Header">
    <w:name w:val="header"/>
    <w:basedOn w:val="Normal"/>
    <w:link w:val="HeaderChar"/>
    <w:uiPriority w:val="99"/>
    <w:unhideWhenUsed/>
    <w:rsid w:val="00B66774"/>
    <w:pPr>
      <w:tabs>
        <w:tab w:val="center" w:pos="4680"/>
        <w:tab w:val="right" w:pos="9360"/>
      </w:tabs>
    </w:pPr>
  </w:style>
  <w:style w:type="character" w:customStyle="1" w:styleId="HeaderChar">
    <w:name w:val="Header Char"/>
    <w:basedOn w:val="DefaultParagraphFont"/>
    <w:link w:val="Header"/>
    <w:uiPriority w:val="99"/>
    <w:rsid w:val="00B66774"/>
    <w:rPr>
      <w:rFonts w:ascii="Times" w:hAnsi="Time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3147">
      <w:bodyDiv w:val="1"/>
      <w:marLeft w:val="0"/>
      <w:marRight w:val="0"/>
      <w:marTop w:val="0"/>
      <w:marBottom w:val="0"/>
      <w:divBdr>
        <w:top w:val="none" w:sz="0" w:space="0" w:color="auto"/>
        <w:left w:val="none" w:sz="0" w:space="0" w:color="auto"/>
        <w:bottom w:val="none" w:sz="0" w:space="0" w:color="auto"/>
        <w:right w:val="none" w:sz="0" w:space="0" w:color="auto"/>
      </w:divBdr>
    </w:div>
    <w:div w:id="59325675">
      <w:bodyDiv w:val="1"/>
      <w:marLeft w:val="0"/>
      <w:marRight w:val="0"/>
      <w:marTop w:val="0"/>
      <w:marBottom w:val="0"/>
      <w:divBdr>
        <w:top w:val="none" w:sz="0" w:space="0" w:color="auto"/>
        <w:left w:val="none" w:sz="0" w:space="0" w:color="auto"/>
        <w:bottom w:val="none" w:sz="0" w:space="0" w:color="auto"/>
        <w:right w:val="none" w:sz="0" w:space="0" w:color="auto"/>
      </w:divBdr>
    </w:div>
    <w:div w:id="458300066">
      <w:bodyDiv w:val="1"/>
      <w:marLeft w:val="0"/>
      <w:marRight w:val="0"/>
      <w:marTop w:val="0"/>
      <w:marBottom w:val="0"/>
      <w:divBdr>
        <w:top w:val="none" w:sz="0" w:space="0" w:color="auto"/>
        <w:left w:val="none" w:sz="0" w:space="0" w:color="auto"/>
        <w:bottom w:val="none" w:sz="0" w:space="0" w:color="auto"/>
        <w:right w:val="none" w:sz="0" w:space="0" w:color="auto"/>
      </w:divBdr>
    </w:div>
    <w:div w:id="477919356">
      <w:bodyDiv w:val="1"/>
      <w:marLeft w:val="0"/>
      <w:marRight w:val="0"/>
      <w:marTop w:val="0"/>
      <w:marBottom w:val="0"/>
      <w:divBdr>
        <w:top w:val="none" w:sz="0" w:space="0" w:color="auto"/>
        <w:left w:val="none" w:sz="0" w:space="0" w:color="auto"/>
        <w:bottom w:val="none" w:sz="0" w:space="0" w:color="auto"/>
        <w:right w:val="none" w:sz="0" w:space="0" w:color="auto"/>
      </w:divBdr>
    </w:div>
    <w:div w:id="97691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smi@uny.ac.id"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zra.ps@uny.ac.id"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7B049-C9C5-4682-99D6-6E6FAE4D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1006</TotalTime>
  <Pages>7</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NA</cp:lastModifiedBy>
  <cp:revision>123</cp:revision>
  <cp:lastPrinted>2005-02-25T09:52:00Z</cp:lastPrinted>
  <dcterms:created xsi:type="dcterms:W3CDTF">2020-08-18T09:03:00Z</dcterms:created>
  <dcterms:modified xsi:type="dcterms:W3CDTF">2020-08-26T07:11:00Z</dcterms:modified>
</cp:coreProperties>
</file>